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《山西独立储能和用户可控负荷参与电力调峰市场交易实施细则（试行）》政策解读</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textAlignment w:val="auto"/>
        <w:outlineLvl w:val="9"/>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编制</w:t>
      </w:r>
      <w:r>
        <w:rPr>
          <w:rFonts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ascii="仿宋" w:hAnsi="仿宋" w:eastAsia="仿宋"/>
          <w:sz w:val="32"/>
          <w:szCs w:val="32"/>
        </w:rPr>
        <w:t>为贯彻落实国家发改委</w:t>
      </w:r>
      <w:r>
        <w:rPr>
          <w:rFonts w:hint="eastAsia" w:ascii="仿宋" w:hAnsi="仿宋" w:eastAsia="仿宋"/>
          <w:sz w:val="32"/>
          <w:szCs w:val="32"/>
        </w:rPr>
        <w:t>、</w:t>
      </w:r>
      <w:r>
        <w:rPr>
          <w:rFonts w:ascii="仿宋" w:hAnsi="仿宋" w:eastAsia="仿宋"/>
          <w:sz w:val="32"/>
          <w:szCs w:val="32"/>
        </w:rPr>
        <w:t>国家能源局关于</w:t>
      </w:r>
      <w:r>
        <w:rPr>
          <w:rFonts w:hint="eastAsia" w:ascii="仿宋" w:hAnsi="仿宋" w:eastAsia="仿宋"/>
          <w:sz w:val="32"/>
          <w:szCs w:val="32"/>
        </w:rPr>
        <w:t>深化储能和调峰机制改革工作要求，</w:t>
      </w:r>
      <w:r>
        <w:rPr>
          <w:rFonts w:ascii="仿宋" w:hAnsi="仿宋" w:eastAsia="仿宋"/>
          <w:sz w:val="32"/>
          <w:szCs w:val="32"/>
        </w:rPr>
        <w:t>践行</w:t>
      </w:r>
      <w:r>
        <w:rPr>
          <w:rFonts w:hint="eastAsia" w:ascii="仿宋" w:hAnsi="仿宋" w:eastAsia="仿宋"/>
          <w:sz w:val="32"/>
          <w:szCs w:val="32"/>
        </w:rPr>
        <w:t>“两个一体化”发展理念，持续深化电力市场改革，</w:t>
      </w:r>
      <w:r>
        <w:rPr>
          <w:rFonts w:ascii="仿宋" w:hAnsi="仿宋" w:eastAsia="仿宋"/>
          <w:sz w:val="32"/>
          <w:szCs w:val="32"/>
        </w:rPr>
        <w:t>提升山西风电、光伏等新能源消纳空间，节省火电调峰资源</w:t>
      </w:r>
      <w:r>
        <w:rPr>
          <w:rFonts w:hint="eastAsia" w:ascii="仿宋" w:hAnsi="仿宋" w:eastAsia="仿宋"/>
          <w:sz w:val="32"/>
          <w:szCs w:val="32"/>
        </w:rPr>
        <w:t>，</w:t>
      </w:r>
      <w:r>
        <w:rPr>
          <w:rFonts w:ascii="仿宋" w:hAnsi="仿宋" w:eastAsia="仿宋"/>
          <w:sz w:val="32"/>
          <w:szCs w:val="32"/>
        </w:rPr>
        <w:t>降低全社会用能成本，</w:t>
      </w:r>
      <w:r>
        <w:rPr>
          <w:rFonts w:hint="eastAsia" w:ascii="仿宋" w:hAnsi="仿宋" w:eastAsia="仿宋"/>
          <w:sz w:val="32"/>
          <w:szCs w:val="32"/>
          <w:lang w:val="en-US" w:eastAsia="zh-CN"/>
        </w:rPr>
        <w:t>山西能源监管办</w:t>
      </w:r>
      <w:r>
        <w:rPr>
          <w:rFonts w:hint="eastAsia" w:ascii="仿宋" w:hAnsi="仿宋" w:eastAsia="仿宋"/>
          <w:sz w:val="32"/>
          <w:szCs w:val="32"/>
        </w:rPr>
        <w:t>编制了《山西独立储能和用户可控负荷参与电力调峰市场交易实施细则》，</w:t>
      </w:r>
      <w:r>
        <w:rPr>
          <w:rFonts w:ascii="仿宋" w:hAnsi="仿宋" w:eastAsia="仿宋"/>
          <w:sz w:val="32"/>
          <w:szCs w:val="32"/>
        </w:rPr>
        <w:t>现就有关</w:t>
      </w:r>
      <w:r>
        <w:rPr>
          <w:rFonts w:hint="eastAsia" w:ascii="仿宋" w:hAnsi="仿宋" w:eastAsia="仿宋"/>
          <w:sz w:val="32"/>
          <w:szCs w:val="32"/>
          <w:lang w:val="en-US" w:eastAsia="zh-CN"/>
        </w:rPr>
        <w:t>内容</w:t>
      </w:r>
      <w:r>
        <w:rPr>
          <w:rFonts w:ascii="仿宋" w:hAnsi="仿宋" w:eastAsia="仿宋"/>
          <w:sz w:val="32"/>
          <w:szCs w:val="32"/>
        </w:rPr>
        <w:t>说明如下</w:t>
      </w:r>
      <w:r>
        <w:rPr>
          <w:rFonts w:hint="eastAsia" w:ascii="仿宋" w:hAnsi="仿宋" w:eastAsia="仿宋"/>
          <w:sz w:val="32"/>
          <w:szCs w:val="32"/>
          <w:lang w:eastAsia="zh-CN"/>
        </w:rPr>
        <w:t>。</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1.第一章 总则：</w:t>
      </w:r>
      <w:r>
        <w:rPr>
          <w:rFonts w:hint="eastAsia" w:ascii="仿宋" w:hAnsi="仿宋" w:eastAsia="仿宋"/>
          <w:sz w:val="32"/>
          <w:szCs w:val="32"/>
        </w:rPr>
        <w:t>主要介绍编制目的、编制依据、适用范围、功能定位、基线负荷定义和结算原则等内容。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2.第二章 市场成员：</w:t>
      </w:r>
      <w:r>
        <w:rPr>
          <w:rFonts w:hint="eastAsia" w:ascii="仿宋" w:hAnsi="仿宋" w:eastAsia="仿宋"/>
          <w:sz w:val="32"/>
          <w:szCs w:val="32"/>
        </w:rPr>
        <w:t>主要介绍市场成员（市场运营机构、电网企业和市场主体）的权利与义务，独立储能和用户可控负荷转准入条件、准入程序和变更、退出程序。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3.第三章 交易组织：</w:t>
      </w:r>
      <w:r>
        <w:rPr>
          <w:rFonts w:hint="eastAsia" w:ascii="仿宋" w:hAnsi="仿宋" w:eastAsia="仿宋"/>
          <w:sz w:val="32"/>
          <w:szCs w:val="32"/>
        </w:rPr>
        <w:t>主要介绍独立储能和用户可控负荷参与电力调峰市场双边协商交易、月度挂牌交易和日前市场交易流程及补偿标准。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4.第四章 计量与执行结果认定：</w:t>
      </w:r>
      <w:r>
        <w:rPr>
          <w:rFonts w:hint="eastAsia" w:ascii="仿宋" w:hAnsi="仿宋" w:eastAsia="仿宋"/>
          <w:sz w:val="32"/>
          <w:szCs w:val="32"/>
        </w:rPr>
        <w:t>主要介绍计量依据、基线负荷计算方法和执行结果认定过程。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5.第五章 结算与分摊：</w:t>
      </w:r>
      <w:r>
        <w:rPr>
          <w:rFonts w:hint="eastAsia" w:ascii="仿宋" w:hAnsi="仿宋" w:eastAsia="仿宋"/>
          <w:sz w:val="32"/>
          <w:szCs w:val="32"/>
        </w:rPr>
        <w:t>主要介绍调峰电量计算与补偿费用计算方法、费用分摊机制与各相关市场主体费用分摊计算方法。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6.第六章 信息披露与报送：</w:t>
      </w:r>
      <w:r>
        <w:rPr>
          <w:rFonts w:hint="eastAsia" w:ascii="仿宋" w:hAnsi="仿宋" w:eastAsia="仿宋"/>
          <w:sz w:val="32"/>
          <w:szCs w:val="32"/>
        </w:rPr>
        <w:t>主要介绍独立储能和用户可控负荷参与电力调峰信息披露与报送相关要求。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7.第七章 市场干预：</w:t>
      </w:r>
      <w:r>
        <w:rPr>
          <w:rFonts w:hint="eastAsia" w:ascii="仿宋" w:hAnsi="仿宋" w:eastAsia="仿宋"/>
          <w:sz w:val="32"/>
          <w:szCs w:val="32"/>
        </w:rPr>
        <w:t>主要介绍独立储能和用户可控负荷参与电力调峰是，实施市场干预的情形和干预措施。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sz w:val="32"/>
          <w:szCs w:val="32"/>
        </w:rPr>
      </w:pPr>
      <w:r>
        <w:rPr>
          <w:rFonts w:hint="eastAsia" w:ascii="楷体" w:hAnsi="楷体" w:eastAsia="楷体"/>
          <w:sz w:val="32"/>
          <w:szCs w:val="32"/>
        </w:rPr>
        <w:t>8.第八章 附则：</w:t>
      </w:r>
      <w:r>
        <w:rPr>
          <w:rFonts w:hint="eastAsia" w:ascii="仿宋" w:hAnsi="仿宋" w:eastAsia="仿宋"/>
          <w:sz w:val="32"/>
          <w:szCs w:val="32"/>
        </w:rPr>
        <w:t>主要介绍细则有效期和山西能监办将根据市场运营情况动态调整相关条款。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41C6"/>
    <w:rsid w:val="22DE1DE7"/>
    <w:rsid w:val="7DF0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dcterms:modified xsi:type="dcterms:W3CDTF">2024-01-12T06:47:51Z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B3B2A9C73D0747B38DE9EDB3FCA53A94_12</vt:lpwstr>
  </property>
</Properties>
</file>