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44"/>
          <w:szCs w:val="44"/>
          <w:lang w:eastAsia="zh-CN"/>
        </w:rPr>
      </w:pPr>
      <w:bookmarkStart w:id="0" w:name="_GoBack"/>
      <w:bookmarkEnd w:id="0"/>
      <w:r>
        <w:rPr>
          <w:rFonts w:hint="eastAsia" w:asciiTheme="minorEastAsia" w:hAnsiTheme="minorEastAsia"/>
          <w:b/>
          <w:sz w:val="44"/>
          <w:szCs w:val="44"/>
        </w:rPr>
        <w:t>《</w:t>
      </w:r>
      <w:r>
        <w:rPr>
          <w:rFonts w:asciiTheme="minorEastAsia" w:hAnsiTheme="minorEastAsia"/>
          <w:b/>
          <w:sz w:val="44"/>
          <w:szCs w:val="44"/>
        </w:rPr>
        <w:t>山西电力中长期交易实施细则</w:t>
      </w:r>
      <w:r>
        <w:rPr>
          <w:rFonts w:hint="eastAsia" w:asciiTheme="minorEastAsia" w:hAnsiTheme="minorEastAsia"/>
          <w:b/>
          <w:sz w:val="44"/>
          <w:szCs w:val="44"/>
        </w:rPr>
        <w:t>》</w:t>
      </w:r>
      <w:r>
        <w:rPr>
          <w:rFonts w:hint="eastAsia" w:asciiTheme="minorEastAsia" w:hAnsiTheme="minorEastAsia"/>
          <w:b/>
          <w:sz w:val="44"/>
          <w:szCs w:val="44"/>
          <w:lang w:val="en-US" w:eastAsia="zh-CN"/>
        </w:rPr>
        <w:t>政策解读</w:t>
      </w:r>
    </w:p>
    <w:p>
      <w:pPr>
        <w:spacing w:beforeLines="100"/>
        <w:ind w:firstLine="640" w:firstLineChars="200"/>
        <w:rPr>
          <w:rFonts w:hint="eastAsia" w:ascii="仿宋" w:hAnsi="仿宋" w:eastAsia="仿宋"/>
          <w:sz w:val="32"/>
          <w:szCs w:val="32"/>
          <w:lang w:eastAsia="zh-CN"/>
        </w:rPr>
      </w:pPr>
      <w:r>
        <w:rPr>
          <w:rFonts w:ascii="仿宋" w:hAnsi="仿宋" w:eastAsia="仿宋"/>
          <w:sz w:val="32"/>
          <w:szCs w:val="32"/>
        </w:rPr>
        <w:t>为深化电力市场建设</w:t>
      </w:r>
      <w:r>
        <w:rPr>
          <w:rFonts w:hint="eastAsia" w:ascii="仿宋" w:hAnsi="仿宋" w:eastAsia="仿宋"/>
          <w:sz w:val="32"/>
          <w:szCs w:val="32"/>
        </w:rPr>
        <w:t>，</w:t>
      </w:r>
      <w:r>
        <w:rPr>
          <w:rFonts w:ascii="仿宋" w:hAnsi="仿宋" w:eastAsia="仿宋"/>
          <w:sz w:val="32"/>
          <w:szCs w:val="32"/>
        </w:rPr>
        <w:t>进一步指导和规范电力中长期交易行为</w:t>
      </w:r>
      <w:r>
        <w:rPr>
          <w:rFonts w:hint="eastAsia" w:ascii="仿宋" w:hAnsi="仿宋" w:eastAsia="仿宋"/>
          <w:sz w:val="32"/>
          <w:szCs w:val="32"/>
        </w:rPr>
        <w:t>，</w:t>
      </w:r>
      <w:r>
        <w:rPr>
          <w:rFonts w:ascii="仿宋" w:hAnsi="仿宋" w:eastAsia="仿宋"/>
          <w:sz w:val="32"/>
          <w:szCs w:val="32"/>
        </w:rPr>
        <w:t>适应现阶段山西电力中长期交易组织</w:t>
      </w:r>
      <w:r>
        <w:rPr>
          <w:rFonts w:hint="eastAsia" w:ascii="仿宋" w:hAnsi="仿宋" w:eastAsia="仿宋"/>
          <w:sz w:val="32"/>
          <w:szCs w:val="32"/>
        </w:rPr>
        <w:t>、</w:t>
      </w:r>
      <w:r>
        <w:rPr>
          <w:rFonts w:ascii="仿宋" w:hAnsi="仿宋" w:eastAsia="仿宋"/>
          <w:sz w:val="32"/>
          <w:szCs w:val="32"/>
        </w:rPr>
        <w:t>实施</w:t>
      </w:r>
      <w:r>
        <w:rPr>
          <w:rFonts w:hint="eastAsia" w:ascii="仿宋" w:hAnsi="仿宋" w:eastAsia="仿宋"/>
          <w:sz w:val="32"/>
          <w:szCs w:val="32"/>
        </w:rPr>
        <w:t>、</w:t>
      </w:r>
      <w:r>
        <w:rPr>
          <w:rFonts w:ascii="仿宋" w:hAnsi="仿宋" w:eastAsia="仿宋"/>
          <w:sz w:val="32"/>
          <w:szCs w:val="32"/>
        </w:rPr>
        <w:t>结算等方面的需要</w:t>
      </w:r>
      <w:r>
        <w:rPr>
          <w:rFonts w:hint="eastAsia" w:ascii="仿宋" w:hAnsi="仿宋" w:eastAsia="仿宋"/>
          <w:sz w:val="32"/>
          <w:szCs w:val="32"/>
        </w:rPr>
        <w:t>，市场监管处结合山西现货市场试点运行实际，组织交易中心、调控中心和相关市场主体对《山西省电力中长期交易规则（暂行）》（晋政办发〔</w:t>
      </w:r>
      <w:r>
        <w:rPr>
          <w:rFonts w:hint="eastAsia" w:ascii="仿宋" w:hAnsi="仿宋" w:eastAsia="仿宋"/>
          <w:sz w:val="32"/>
          <w:szCs w:val="32"/>
          <w:lang w:val="en-US" w:eastAsia="zh-CN"/>
        </w:rPr>
        <w:t>2017</w:t>
      </w:r>
      <w:r>
        <w:rPr>
          <w:rFonts w:hint="eastAsia" w:ascii="仿宋" w:hAnsi="仿宋" w:eastAsia="仿宋"/>
          <w:sz w:val="32"/>
          <w:szCs w:val="32"/>
        </w:rPr>
        <w:t>〕93号）、《山西电力中长期交易实施细则（暂行）》（晋监能市场〔2017〕154号）进行了融合修订，</w:t>
      </w:r>
      <w:r>
        <w:rPr>
          <w:rFonts w:hint="eastAsia" w:ascii="仿宋" w:hAnsi="仿宋" w:eastAsia="仿宋"/>
          <w:sz w:val="32"/>
          <w:szCs w:val="32"/>
          <w:lang w:val="en-US" w:eastAsia="zh-CN"/>
        </w:rPr>
        <w:t>印发了《山西电力中长期交易实施细则》</w:t>
      </w:r>
      <w:r>
        <w:rPr>
          <w:rFonts w:hint="eastAsia" w:ascii="仿宋" w:hAnsi="仿宋" w:eastAsia="仿宋"/>
          <w:sz w:val="32"/>
          <w:szCs w:val="32"/>
        </w:rPr>
        <w:t>（晋</w:t>
      </w:r>
      <w:r>
        <w:rPr>
          <w:rFonts w:hint="eastAsia" w:ascii="仿宋" w:hAnsi="仿宋" w:eastAsia="仿宋"/>
          <w:sz w:val="32"/>
          <w:szCs w:val="32"/>
          <w:lang w:val="en-US" w:eastAsia="zh-CN"/>
        </w:rPr>
        <w:t>监能</w:t>
      </w:r>
      <w:r>
        <w:rPr>
          <w:rFonts w:hint="eastAsia" w:ascii="仿宋" w:hAnsi="仿宋" w:eastAsia="仿宋"/>
          <w:sz w:val="32"/>
          <w:szCs w:val="32"/>
        </w:rPr>
        <w:t>〔2</w:t>
      </w:r>
      <w:r>
        <w:rPr>
          <w:rFonts w:hint="eastAsia" w:ascii="仿宋" w:hAnsi="仿宋" w:eastAsia="仿宋"/>
          <w:sz w:val="32"/>
          <w:szCs w:val="32"/>
          <w:lang w:val="en-US" w:eastAsia="zh-CN"/>
        </w:rPr>
        <w:t>020</w:t>
      </w:r>
      <w:r>
        <w:rPr>
          <w:rFonts w:hint="eastAsia" w:ascii="仿宋" w:hAnsi="仿宋" w:eastAsia="仿宋"/>
          <w:sz w:val="32"/>
          <w:szCs w:val="32"/>
        </w:rPr>
        <w:t>〕</w:t>
      </w:r>
      <w:r>
        <w:rPr>
          <w:rFonts w:hint="eastAsia" w:ascii="仿宋" w:hAnsi="仿宋" w:eastAsia="仿宋"/>
          <w:sz w:val="32"/>
          <w:szCs w:val="32"/>
          <w:lang w:val="en-US" w:eastAsia="zh-CN"/>
        </w:rPr>
        <w:t>16</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现将有关修订情况说明如下</w:t>
      </w:r>
      <w:r>
        <w:rPr>
          <w:rFonts w:hint="eastAsia" w:ascii="仿宋" w:hAnsi="仿宋" w:eastAsia="仿宋"/>
          <w:sz w:val="32"/>
          <w:szCs w:val="32"/>
          <w:lang w:eastAsia="zh-CN"/>
        </w:rPr>
        <w:t>。</w:t>
      </w:r>
    </w:p>
    <w:p>
      <w:pPr>
        <w:spacing w:beforeLines="50" w:afterLines="50"/>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修</w:t>
      </w:r>
      <w:r>
        <w:rPr>
          <w:rFonts w:hint="eastAsia" w:ascii="黑体" w:hAnsi="黑体" w:eastAsia="黑体"/>
          <w:sz w:val="32"/>
          <w:szCs w:val="32"/>
        </w:rPr>
        <w:t>订</w:t>
      </w:r>
      <w:r>
        <w:rPr>
          <w:rFonts w:ascii="黑体" w:hAnsi="黑体" w:eastAsia="黑体"/>
          <w:sz w:val="32"/>
          <w:szCs w:val="32"/>
        </w:rPr>
        <w:t>背景</w:t>
      </w:r>
    </w:p>
    <w:p>
      <w:pPr>
        <w:ind w:firstLine="640" w:firstLineChars="200"/>
        <w:rPr>
          <w:rFonts w:ascii="仿宋" w:hAnsi="仿宋" w:eastAsia="仿宋"/>
          <w:sz w:val="32"/>
          <w:szCs w:val="32"/>
        </w:rPr>
      </w:pPr>
      <w:r>
        <w:rPr>
          <w:rFonts w:ascii="仿宋" w:hAnsi="仿宋" w:eastAsia="仿宋"/>
          <w:sz w:val="32"/>
          <w:szCs w:val="32"/>
        </w:rPr>
        <w:t>一是国家发改委</w:t>
      </w:r>
      <w:r>
        <w:rPr>
          <w:rFonts w:hint="eastAsia" w:ascii="仿宋" w:hAnsi="仿宋" w:eastAsia="仿宋"/>
          <w:sz w:val="32"/>
          <w:szCs w:val="32"/>
        </w:rPr>
        <w:t>、</w:t>
      </w:r>
      <w:r>
        <w:rPr>
          <w:rFonts w:ascii="仿宋" w:hAnsi="仿宋" w:eastAsia="仿宋"/>
          <w:sz w:val="32"/>
          <w:szCs w:val="32"/>
        </w:rPr>
        <w:t>国家能源局于</w:t>
      </w:r>
      <w:r>
        <w:rPr>
          <w:rFonts w:hint="eastAsia" w:ascii="仿宋" w:hAnsi="仿宋" w:eastAsia="仿宋"/>
          <w:sz w:val="32"/>
          <w:szCs w:val="32"/>
        </w:rPr>
        <w:t>2020年6月11日正式印发了新一版《电力中长期交易基本规则》（发改能源规〔2020〕889号），并在附则第一百二十六条明确要求国家能源局派出机构会同地方政府电力管理等部门根据本规则修订各省（区、市）电力交易实施细则。</w:t>
      </w:r>
    </w:p>
    <w:p>
      <w:pPr>
        <w:ind w:firstLine="640" w:firstLineChars="200"/>
        <w:rPr>
          <w:rFonts w:ascii="仿宋" w:hAnsi="仿宋" w:eastAsia="仿宋"/>
          <w:sz w:val="32"/>
          <w:szCs w:val="32"/>
        </w:rPr>
      </w:pPr>
      <w:r>
        <w:rPr>
          <w:rFonts w:hint="eastAsia" w:ascii="仿宋" w:hAnsi="仿宋" w:eastAsia="仿宋"/>
          <w:sz w:val="32"/>
          <w:szCs w:val="32"/>
        </w:rPr>
        <w:t>二是我办依据</w:t>
      </w:r>
      <w:r>
        <w:rPr>
          <w:rFonts w:ascii="仿宋" w:hAnsi="仿宋" w:eastAsia="仿宋"/>
          <w:sz w:val="32"/>
          <w:szCs w:val="32"/>
        </w:rPr>
        <w:t>国家发改委</w:t>
      </w:r>
      <w:r>
        <w:rPr>
          <w:rFonts w:hint="eastAsia" w:ascii="仿宋" w:hAnsi="仿宋" w:eastAsia="仿宋"/>
          <w:sz w:val="32"/>
          <w:szCs w:val="32"/>
        </w:rPr>
        <w:t>、</w:t>
      </w:r>
      <w:r>
        <w:rPr>
          <w:rFonts w:ascii="仿宋" w:hAnsi="仿宋" w:eastAsia="仿宋"/>
          <w:sz w:val="32"/>
          <w:szCs w:val="32"/>
        </w:rPr>
        <w:t>国家能源局</w:t>
      </w:r>
      <w:r>
        <w:rPr>
          <w:rFonts w:hint="eastAsia" w:ascii="仿宋" w:hAnsi="仿宋" w:eastAsia="仿宋"/>
          <w:sz w:val="32"/>
          <w:szCs w:val="32"/>
        </w:rPr>
        <w:t>印发的上一版中长期规则编制的《山西省电力中长期交易规则（暂行）》（晋政办发〔2 0 1 7〕9 3号）、《山西电力中长期交易实施细则（暂行）》（晋监能市场〔2017〕154号）已于2020年8月10日失效。</w:t>
      </w:r>
    </w:p>
    <w:p>
      <w:pPr>
        <w:ind w:firstLine="640" w:firstLineChars="200"/>
        <w:rPr>
          <w:rFonts w:ascii="仿宋" w:hAnsi="仿宋" w:eastAsia="仿宋"/>
          <w:sz w:val="32"/>
          <w:szCs w:val="32"/>
        </w:rPr>
      </w:pPr>
      <w:r>
        <w:rPr>
          <w:rFonts w:hint="eastAsia" w:ascii="仿宋" w:hAnsi="仿宋" w:eastAsia="仿宋"/>
          <w:sz w:val="32"/>
          <w:szCs w:val="32"/>
        </w:rPr>
        <w:t>三是山西作为国家确定的8家现货试点建设省份之一，已开展5次61天结算试运行，正在开展连续双月结算试运行，迫切需要修订完善中长期交易相关条款，做好中长期市场和现货市场的衔接。</w:t>
      </w:r>
    </w:p>
    <w:p>
      <w:pPr>
        <w:spacing w:beforeLines="50" w:afterLines="50"/>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、主要内容</w:t>
      </w:r>
    </w:p>
    <w:p>
      <w:pPr>
        <w:ind w:firstLine="640" w:firstLineChars="200"/>
        <w:rPr>
          <w:rFonts w:ascii="仿宋" w:hAnsi="仿宋" w:eastAsia="仿宋"/>
          <w:sz w:val="32"/>
          <w:szCs w:val="32"/>
        </w:rPr>
      </w:pPr>
      <w:r>
        <w:rPr>
          <w:rFonts w:ascii="楷体" w:hAnsi="楷体" w:eastAsia="楷体"/>
          <w:sz w:val="32"/>
          <w:szCs w:val="32"/>
        </w:rPr>
        <w:t>第一章</w:t>
      </w:r>
      <w:r>
        <w:rPr>
          <w:rFonts w:hint="eastAsia" w:ascii="楷体" w:hAnsi="楷体" w:eastAsia="楷体"/>
          <w:sz w:val="32"/>
          <w:szCs w:val="32"/>
        </w:rPr>
        <w:t xml:space="preserve"> 总则：</w:t>
      </w:r>
      <w:r>
        <w:rPr>
          <w:rFonts w:hint="eastAsia" w:ascii="仿宋" w:hAnsi="仿宋" w:eastAsia="仿宋"/>
          <w:sz w:val="32"/>
          <w:szCs w:val="32"/>
        </w:rPr>
        <w:t>主要介绍细则修订依据和适用范围。</w:t>
      </w:r>
    </w:p>
    <w:p>
      <w:pPr>
        <w:ind w:firstLine="640" w:firstLineChars="200"/>
        <w:rPr>
          <w:rFonts w:ascii="仿宋" w:hAnsi="仿宋" w:eastAsia="仿宋"/>
          <w:sz w:val="32"/>
          <w:szCs w:val="32"/>
        </w:rPr>
      </w:pPr>
      <w:r>
        <w:rPr>
          <w:rFonts w:ascii="楷体" w:hAnsi="楷体" w:eastAsia="楷体"/>
          <w:sz w:val="32"/>
          <w:szCs w:val="32"/>
        </w:rPr>
        <w:t>第二章</w:t>
      </w:r>
      <w:r>
        <w:rPr>
          <w:rFonts w:hint="eastAsia" w:ascii="楷体" w:hAnsi="楷体" w:eastAsia="楷体"/>
          <w:sz w:val="32"/>
          <w:szCs w:val="32"/>
        </w:rPr>
        <w:t xml:space="preserve"> 市场成员：</w:t>
      </w:r>
      <w:r>
        <w:rPr>
          <w:rFonts w:hint="eastAsia" w:ascii="仿宋" w:hAnsi="仿宋" w:eastAsia="仿宋"/>
          <w:sz w:val="32"/>
          <w:szCs w:val="32"/>
        </w:rPr>
        <w:t>主要介绍电网企业、市场运营机构、发电企业、电力用户、售电公司的权利和义务，及相关市场主体准入条件和准入程序。</w:t>
      </w:r>
    </w:p>
    <w:p>
      <w:pPr>
        <w:ind w:firstLine="640" w:firstLineChars="200"/>
        <w:rPr>
          <w:rFonts w:ascii="仿宋" w:hAnsi="仿宋" w:eastAsia="仿宋"/>
          <w:sz w:val="32"/>
          <w:szCs w:val="32"/>
        </w:rPr>
      </w:pPr>
      <w:r>
        <w:rPr>
          <w:rFonts w:hint="eastAsia" w:ascii="楷体" w:hAnsi="楷体" w:eastAsia="楷体"/>
          <w:sz w:val="32"/>
          <w:szCs w:val="32"/>
        </w:rPr>
        <w:t>第三章 市场注册、变更与退市：</w:t>
      </w:r>
      <w:r>
        <w:rPr>
          <w:rFonts w:hint="eastAsia" w:ascii="仿宋" w:hAnsi="仿宋" w:eastAsia="仿宋"/>
          <w:sz w:val="32"/>
          <w:szCs w:val="32"/>
        </w:rPr>
        <w:t>主要介绍发电企业、电力用户、售电公司、储能企业等市场主体入市注册需提供资料和注册流程，及市场主体注册信息变更和退市流程。</w:t>
      </w:r>
    </w:p>
    <w:p>
      <w:pPr>
        <w:ind w:firstLine="640" w:firstLineChars="200"/>
        <w:rPr>
          <w:rFonts w:ascii="仿宋" w:hAnsi="仿宋" w:eastAsia="仿宋"/>
          <w:sz w:val="32"/>
          <w:szCs w:val="32"/>
        </w:rPr>
      </w:pPr>
      <w:r>
        <w:rPr>
          <w:rFonts w:hint="eastAsia" w:ascii="楷体" w:hAnsi="楷体" w:eastAsia="楷体"/>
          <w:sz w:val="32"/>
          <w:szCs w:val="32"/>
        </w:rPr>
        <w:t>第四章 市场模式：</w:t>
      </w:r>
      <w:r>
        <w:rPr>
          <w:rFonts w:hint="eastAsia" w:ascii="仿宋" w:hAnsi="仿宋" w:eastAsia="仿宋"/>
          <w:sz w:val="32"/>
          <w:szCs w:val="32"/>
        </w:rPr>
        <w:t>主要介绍省间市场与省内市场、批发市场、零售市场、中长期市场与现货市场的定位、功能和衔接关系。</w:t>
      </w:r>
    </w:p>
    <w:p>
      <w:pPr>
        <w:ind w:firstLine="640" w:firstLineChars="200"/>
        <w:rPr>
          <w:rFonts w:ascii="仿宋" w:hAnsi="仿宋" w:eastAsia="仿宋"/>
          <w:sz w:val="32"/>
          <w:szCs w:val="32"/>
        </w:rPr>
      </w:pPr>
      <w:r>
        <w:rPr>
          <w:rFonts w:hint="eastAsia" w:ascii="楷体" w:hAnsi="楷体" w:eastAsia="楷体"/>
          <w:sz w:val="32"/>
          <w:szCs w:val="32"/>
        </w:rPr>
        <w:t>第五章 交易品种、周期和交易方式：</w:t>
      </w:r>
      <w:r>
        <w:rPr>
          <w:rFonts w:hint="eastAsia" w:ascii="仿宋" w:hAnsi="仿宋" w:eastAsia="仿宋"/>
          <w:sz w:val="32"/>
          <w:szCs w:val="32"/>
        </w:rPr>
        <w:t>主要介绍省间交易、省内电力直接交易、合同转让交易、回购交易、抽水蓄能容量电费认购交易等交易品种的组织原则、开展周期，及双边协商、集中交易两种交易方式的组织过程和出清原则。</w:t>
      </w:r>
    </w:p>
    <w:p>
      <w:pPr>
        <w:ind w:firstLine="640" w:firstLineChars="200"/>
        <w:rPr>
          <w:rFonts w:ascii="仿宋" w:hAnsi="仿宋" w:eastAsia="仿宋"/>
          <w:sz w:val="32"/>
          <w:szCs w:val="32"/>
        </w:rPr>
      </w:pPr>
      <w:r>
        <w:rPr>
          <w:rFonts w:hint="eastAsia" w:ascii="楷体" w:hAnsi="楷体" w:eastAsia="楷体"/>
          <w:sz w:val="32"/>
          <w:szCs w:val="32"/>
        </w:rPr>
        <w:t>第六章 价格机制：</w:t>
      </w:r>
      <w:r>
        <w:rPr>
          <w:rFonts w:hint="eastAsia" w:ascii="仿宋" w:hAnsi="仿宋" w:eastAsia="仿宋"/>
          <w:sz w:val="32"/>
          <w:szCs w:val="32"/>
        </w:rPr>
        <w:t>主要介绍中长期模式下市场主体参加双边协商、集中竞价交易和挂牌交易的价格形成机制，市场化用户的用电价格构成，及现货模式下用户侧价格机制。</w:t>
      </w:r>
    </w:p>
    <w:p>
      <w:pPr>
        <w:ind w:firstLine="640" w:firstLineChars="200"/>
        <w:rPr>
          <w:rFonts w:ascii="仿宋" w:hAnsi="仿宋" w:eastAsia="仿宋"/>
          <w:sz w:val="32"/>
          <w:szCs w:val="32"/>
        </w:rPr>
      </w:pPr>
      <w:r>
        <w:rPr>
          <w:rFonts w:hint="eastAsia" w:ascii="楷体" w:hAnsi="楷体" w:eastAsia="楷体"/>
          <w:sz w:val="32"/>
          <w:szCs w:val="32"/>
        </w:rPr>
        <w:t>第七章 交易组织：</w:t>
      </w:r>
      <w:r>
        <w:rPr>
          <w:rFonts w:hint="eastAsia" w:ascii="仿宋" w:hAnsi="仿宋" w:eastAsia="仿宋"/>
          <w:sz w:val="32"/>
          <w:szCs w:val="32"/>
        </w:rPr>
        <w:t>主要介绍年度交易、月度交易、月内交易组织的总体原则、交易电量约束上、下限，和不同交易品种在参加年度交易、月度交易、月内交易时的具体组织流程，及中长期偏差电量处理机制。</w:t>
      </w:r>
    </w:p>
    <w:p>
      <w:pPr>
        <w:ind w:firstLine="640" w:firstLineChars="200"/>
        <w:rPr>
          <w:rFonts w:ascii="仿宋" w:hAnsi="仿宋" w:eastAsia="仿宋"/>
          <w:sz w:val="32"/>
          <w:szCs w:val="32"/>
        </w:rPr>
      </w:pPr>
      <w:r>
        <w:rPr>
          <w:rFonts w:hint="eastAsia" w:ascii="楷体" w:hAnsi="楷体" w:eastAsia="楷体"/>
          <w:sz w:val="32"/>
          <w:szCs w:val="32"/>
        </w:rPr>
        <w:t>第八章 校核：</w:t>
      </w:r>
      <w:r>
        <w:rPr>
          <w:rFonts w:hint="eastAsia" w:ascii="仿宋" w:hAnsi="仿宋" w:eastAsia="仿宋"/>
          <w:sz w:val="32"/>
          <w:szCs w:val="32"/>
        </w:rPr>
        <w:t>主要介绍中长期模式下电力调度机构开展安全校核主要内容和时限要求，及安全校核未通过时的交易消减原则。</w:t>
      </w:r>
    </w:p>
    <w:p>
      <w:pPr>
        <w:ind w:firstLine="640" w:firstLineChars="200"/>
        <w:rPr>
          <w:rFonts w:ascii="仿宋" w:hAnsi="仿宋" w:eastAsia="仿宋"/>
          <w:sz w:val="32"/>
          <w:szCs w:val="32"/>
        </w:rPr>
      </w:pPr>
      <w:r>
        <w:rPr>
          <w:rFonts w:hint="eastAsia" w:ascii="楷体" w:hAnsi="楷体" w:eastAsia="楷体"/>
          <w:sz w:val="32"/>
          <w:szCs w:val="32"/>
        </w:rPr>
        <w:t>第九章 合同管理与执行：</w:t>
      </w:r>
      <w:r>
        <w:rPr>
          <w:rFonts w:hint="eastAsia" w:ascii="仿宋" w:hAnsi="仿宋" w:eastAsia="仿宋"/>
          <w:sz w:val="32"/>
          <w:szCs w:val="32"/>
        </w:rPr>
        <w:t>主要介绍电力中长期合同签订内容、签订形式，及中长期模式下和现货模式下合同执行相关要求。</w:t>
      </w:r>
    </w:p>
    <w:p>
      <w:pPr>
        <w:ind w:firstLine="640" w:firstLineChars="200"/>
        <w:rPr>
          <w:rFonts w:ascii="仿宋" w:hAnsi="仿宋" w:eastAsia="仿宋"/>
          <w:sz w:val="32"/>
          <w:szCs w:val="32"/>
        </w:rPr>
      </w:pPr>
      <w:r>
        <w:rPr>
          <w:rFonts w:ascii="楷体" w:hAnsi="楷体" w:eastAsia="楷体"/>
          <w:sz w:val="32"/>
          <w:szCs w:val="32"/>
        </w:rPr>
        <w:t>第十章</w:t>
      </w:r>
      <w:r>
        <w:rPr>
          <w:rFonts w:hint="eastAsia" w:ascii="楷体" w:hAnsi="楷体" w:eastAsia="楷体"/>
          <w:sz w:val="32"/>
          <w:szCs w:val="32"/>
        </w:rPr>
        <w:t xml:space="preserve"> 计量与结算：</w:t>
      </w:r>
      <w:r>
        <w:rPr>
          <w:rFonts w:hint="eastAsia" w:ascii="仿宋" w:hAnsi="仿宋" w:eastAsia="仿宋"/>
          <w:sz w:val="32"/>
          <w:szCs w:val="32"/>
        </w:rPr>
        <w:t>主要介绍计量装置安装位置、计量精度、计量周期相关要求，和电费结算流程、发电侧和用户侧偏差电量结算方法，及零售市场5种零售电价确定原则。</w:t>
      </w:r>
    </w:p>
    <w:p>
      <w:pPr>
        <w:ind w:firstLine="640" w:firstLineChars="200"/>
        <w:rPr>
          <w:rFonts w:ascii="仿宋" w:hAnsi="仿宋" w:eastAsia="仿宋"/>
          <w:sz w:val="32"/>
          <w:szCs w:val="32"/>
        </w:rPr>
      </w:pPr>
      <w:r>
        <w:rPr>
          <w:rFonts w:hint="eastAsia" w:ascii="楷体" w:hAnsi="楷体" w:eastAsia="楷体"/>
          <w:sz w:val="32"/>
          <w:szCs w:val="32"/>
        </w:rPr>
        <w:t>第十一章 信息披露：</w:t>
      </w:r>
      <w:r>
        <w:rPr>
          <w:rFonts w:hint="eastAsia" w:ascii="仿宋" w:hAnsi="仿宋" w:eastAsia="仿宋"/>
          <w:sz w:val="32"/>
          <w:szCs w:val="32"/>
        </w:rPr>
        <w:t>主要介绍社会公众信息、市场公开信息和私有信息披露内容和电力交易机构、电力调度机构信息披露管理相关要求。</w:t>
      </w:r>
    </w:p>
    <w:p>
      <w:pPr>
        <w:ind w:firstLine="640" w:firstLineChars="200"/>
        <w:rPr>
          <w:rFonts w:ascii="仿宋" w:hAnsi="仿宋" w:eastAsia="仿宋"/>
          <w:sz w:val="32"/>
          <w:szCs w:val="32"/>
        </w:rPr>
      </w:pPr>
      <w:r>
        <w:rPr>
          <w:rFonts w:hint="eastAsia" w:ascii="楷体" w:hAnsi="楷体" w:eastAsia="楷体"/>
          <w:sz w:val="32"/>
          <w:szCs w:val="32"/>
        </w:rPr>
        <w:t>第十二章 市场监管和风险防控：</w:t>
      </w:r>
      <w:r>
        <w:rPr>
          <w:rFonts w:hint="eastAsia" w:ascii="仿宋" w:hAnsi="仿宋" w:eastAsia="仿宋"/>
          <w:sz w:val="32"/>
          <w:szCs w:val="32"/>
        </w:rPr>
        <w:t>主要介绍电力交易机构、电力调度机构履行市场运营、市场监控和风险防控职责要求，售电公司信用评价办法和市场风险防控措施。</w:t>
      </w:r>
    </w:p>
    <w:p>
      <w:pPr>
        <w:ind w:firstLine="640" w:firstLineChars="200"/>
        <w:rPr>
          <w:rFonts w:ascii="仿宋" w:hAnsi="仿宋" w:eastAsia="仿宋"/>
          <w:sz w:val="32"/>
          <w:szCs w:val="32"/>
        </w:rPr>
      </w:pPr>
      <w:r>
        <w:rPr>
          <w:rFonts w:hint="eastAsia" w:ascii="楷体" w:hAnsi="楷体" w:eastAsia="楷体"/>
          <w:sz w:val="32"/>
          <w:szCs w:val="32"/>
        </w:rPr>
        <w:t>第十三章 附则：</w:t>
      </w:r>
      <w:r>
        <w:rPr>
          <w:rFonts w:hint="eastAsia" w:ascii="仿宋" w:hAnsi="仿宋" w:eastAsia="仿宋"/>
          <w:sz w:val="32"/>
          <w:szCs w:val="32"/>
        </w:rPr>
        <w:t>主要介绍细则由山西能源监管办附则解释和有效期。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77D84"/>
    <w:rsid w:val="0F106F70"/>
    <w:rsid w:val="787F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随心所欲</cp:lastModifiedBy>
  <dcterms:modified xsi:type="dcterms:W3CDTF">2024-01-12T06:45:04Z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BE29C16F1DEB4ED882D40DE0D1B171D2_12</vt:lpwstr>
  </property>
</Properties>
</file>