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《山西并网发电厂辅助服务管理实施细则和并网运行管理实施细则》政策解读</w:t>
      </w:r>
    </w:p>
    <w:p>
      <w:pPr>
        <w:spacing w:beforeLines="100"/>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为保障电力系统安全、优质、经济运行，激发发电企业主动提升并网运行水平，积极提供辅助服务</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适应山西电力市场建设发展需要，根据《华北能源监管局关于印发华北区域并网发电厂“两个细则”（2019 年修订版）的通知》（华北监能市场〔2019〕254 号），编制了《山西并网发电厂辅助服务管理实施细则和并网运行管理实施细则》，现将有关情况说明如下。</w:t>
      </w:r>
    </w:p>
    <w:p>
      <w:pPr>
        <w:spacing w:beforeLines="50" w:afterLines="50"/>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一、修订背景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一是国家能源局华北监管局于2019年10月修订下发了新一版并网发电厂“两个细则”，山西需以此为蓝本，结合实际，对相关条款进行修订完善。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二是山西电力市场建设走在了全国前列，需结合电力市场运营需要，对辅助服务中火电机组调用原则和补偿标准、现货期间发电计划考核费用计算等内容进行优化调整。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三是山西新能源装机飞速发展，对电网的影响越来越大，需对新能源场站具备一次调频功能、中短期和超短期功率预测等方面考核标准进行增补细化。</w:t>
      </w:r>
    </w:p>
    <w:p>
      <w:pPr>
        <w:spacing w:beforeLines="50" w:afterLines="50"/>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“两个细则”包括《山西并网发电厂辅助服务管理实施细则》、《山西发电厂并网运行管理实施细则》、《山西风电场并网运行管理实施细则》和《山西光伏电站并网运行管理实施细则》4部分。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b/>
          <w:bCs/>
          <w:sz w:val="32"/>
          <w:szCs w:val="32"/>
          <w:lang w:val="en-US" w:eastAsia="zh-CN"/>
        </w:rPr>
        <w:t>（一）《山西并网发电厂辅助服务管理实施细则》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第一章 总则：</w:t>
      </w:r>
      <w:r>
        <w:rPr>
          <w:rFonts w:hint="eastAsia" w:ascii="仿宋" w:hAnsi="仿宋" w:eastAsia="仿宋" w:cs="Times New Roman"/>
          <w:sz w:val="32"/>
          <w:szCs w:val="32"/>
          <w:lang w:val="en-US" w:eastAsia="zh-CN"/>
        </w:rPr>
        <w:t>主要规定细则修订依据、辅助服务品种、适用范围及我办和调度机构权责。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第二章 定义与分类：</w:t>
      </w:r>
      <w:r>
        <w:rPr>
          <w:rFonts w:hint="eastAsia" w:ascii="仿宋" w:hAnsi="仿宋" w:eastAsia="仿宋" w:cs="Times New Roman"/>
          <w:sz w:val="32"/>
          <w:szCs w:val="32"/>
          <w:lang w:val="en-US" w:eastAsia="zh-CN"/>
        </w:rPr>
        <w:t>主要规定一次调频、基本调峰、基本无功调节等基本辅助服务和自动发电控制、有偿调峰、有偿无功调节、自动电压控制、旋转备用、黑启动等有偿辅助服务的定义和认定标准。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第三章 提供与调用：</w:t>
      </w:r>
      <w:r>
        <w:rPr>
          <w:rFonts w:hint="eastAsia" w:ascii="仿宋" w:hAnsi="仿宋" w:eastAsia="仿宋" w:cs="Times New Roman"/>
          <w:sz w:val="32"/>
          <w:szCs w:val="32"/>
          <w:lang w:val="en-US" w:eastAsia="zh-CN"/>
        </w:rPr>
        <w:t>主要规定辅助服务调用原则和发电厂、调度机构应履行的职责。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第四章 考核与补偿：</w:t>
      </w:r>
      <w:r>
        <w:rPr>
          <w:rFonts w:hint="eastAsia" w:ascii="仿宋" w:hAnsi="仿宋" w:eastAsia="仿宋" w:cs="Times New Roman"/>
          <w:sz w:val="32"/>
          <w:szCs w:val="32"/>
          <w:lang w:val="en-US" w:eastAsia="zh-CN"/>
        </w:rPr>
        <w:t>主要规定6类有偿辅助服务的补偿原则和计算方法。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第五章 计量与结算：</w:t>
      </w:r>
      <w:r>
        <w:rPr>
          <w:rFonts w:hint="eastAsia" w:ascii="仿宋" w:hAnsi="仿宋" w:eastAsia="仿宋" w:cs="Times New Roman"/>
          <w:sz w:val="32"/>
          <w:szCs w:val="32"/>
          <w:lang w:val="en-US" w:eastAsia="zh-CN"/>
        </w:rPr>
        <w:t>主要规定辅助服务计量依据、各电厂（含风电、光伏）分摊费用计算公式和结算方式。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第六章 监督与管理：</w:t>
      </w:r>
      <w:r>
        <w:rPr>
          <w:rFonts w:hint="eastAsia" w:ascii="仿宋" w:hAnsi="仿宋" w:eastAsia="仿宋" w:cs="Times New Roman"/>
          <w:sz w:val="32"/>
          <w:szCs w:val="32"/>
          <w:lang w:val="en-US" w:eastAsia="zh-CN"/>
        </w:rPr>
        <w:t>主要规定辅助服务考核、补偿统计情况发布时限要求，和争议处理方式。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第七章 附则：</w:t>
      </w:r>
      <w:r>
        <w:rPr>
          <w:rFonts w:hint="eastAsia" w:ascii="仿宋" w:hAnsi="仿宋" w:eastAsia="仿宋" w:cs="Times New Roman"/>
          <w:sz w:val="32"/>
          <w:szCs w:val="32"/>
          <w:lang w:val="en-US" w:eastAsia="zh-CN"/>
        </w:rPr>
        <w:t>主要规定细则有效期限等事宜。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（二）《山西发电厂并网运行管理实施细则》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第一章 总则：</w:t>
      </w:r>
      <w:r>
        <w:rPr>
          <w:rFonts w:hint="eastAsia" w:ascii="仿宋" w:hAnsi="仿宋" w:eastAsia="仿宋" w:cs="Times New Roman"/>
          <w:sz w:val="32"/>
          <w:szCs w:val="32"/>
          <w:lang w:val="en-US" w:eastAsia="zh-CN"/>
        </w:rPr>
        <w:t>主要规定细则修订依据、适用范围及我办和调度机构权责。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第二章 安全管理：</w:t>
      </w:r>
      <w:r>
        <w:rPr>
          <w:rFonts w:hint="eastAsia" w:ascii="仿宋" w:hAnsi="仿宋" w:eastAsia="仿宋" w:cs="Times New Roman"/>
          <w:sz w:val="32"/>
          <w:szCs w:val="32"/>
          <w:lang w:val="en-US" w:eastAsia="zh-CN"/>
        </w:rPr>
        <w:t>主要规定并网发电厂未落实我办安全检查整改措施、未按照调度机构反事故措施按期整改、未制定事故处理预案、无故不参加反事故演习、未及时汇报电厂事故等涉及电力系统安全的相关事项考核标准。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第三章 调度管理：</w:t>
      </w:r>
      <w:r>
        <w:rPr>
          <w:rFonts w:hint="eastAsia" w:ascii="仿宋" w:hAnsi="仿宋" w:eastAsia="仿宋" w:cs="Times New Roman"/>
          <w:sz w:val="32"/>
          <w:szCs w:val="32"/>
          <w:lang w:val="en-US" w:eastAsia="zh-CN"/>
        </w:rPr>
        <w:t>主要规定违反调度纪律、未完整正确向调度机构提供设备参数、未严格执行发电计划曲线和运行方式安排、不能正常提供调峰服务和一次调频服务、AGC运行不满足要求、无功辅助服务不满足要求、AVC运行不满足要求、未按规定提交高低压穿越能力和抑制次/超同步振荡风险报告、机组非计划停运、承担黑启动任务电厂不具备黑启动能力等和调度运行相关的事项考核电量计算方法及免考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第四章 检修管理：</w:t>
      </w:r>
      <w:r>
        <w:rPr>
          <w:rFonts w:hint="eastAsia" w:ascii="仿宋" w:hAnsi="仿宋" w:eastAsia="仿宋" w:cs="Times New Roman"/>
          <w:sz w:val="32"/>
          <w:szCs w:val="32"/>
          <w:lang w:val="en-US" w:eastAsia="zh-CN"/>
        </w:rPr>
        <w:t>主要规定并网发电厂未按时上报年度、月度、周、日检修计划工作和执行检修计划管理不严格的考核标准和考核电量计算方法。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第五章 技术指导和管理：</w:t>
      </w:r>
      <w:r>
        <w:rPr>
          <w:rFonts w:hint="eastAsia" w:ascii="仿宋" w:hAnsi="仿宋" w:eastAsia="仿宋" w:cs="Times New Roman"/>
          <w:sz w:val="32"/>
          <w:szCs w:val="32"/>
          <w:lang w:val="en-US" w:eastAsia="zh-CN"/>
        </w:rPr>
        <w:t>主要规定并网发电厂继电保护和安自装置、通信设备、自动化设备、电力监控系统安全防护设备、电量采集装置、励磁系统和PSS装置、高压侧或升压站电气设备、水电厂水库调度、发电机组性能指标测试等方面的专业管理要求，及专业管理不符合要求和设备（装置）运行指标不合格时的考核电量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第六章 考核实施及信息发布：</w:t>
      </w:r>
      <w:r>
        <w:rPr>
          <w:rFonts w:hint="eastAsia" w:ascii="仿宋" w:hAnsi="仿宋" w:eastAsia="仿宋" w:cs="Times New Roman"/>
          <w:sz w:val="32"/>
          <w:szCs w:val="32"/>
          <w:lang w:val="en-US" w:eastAsia="zh-CN"/>
        </w:rPr>
        <w:t>主要规定考核的基本原则和依据、考核费用结算方式、现货和非现货期间考核费用计算公式、考核统计结果时间发布要求及争议处理方式。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第七章 监管：</w:t>
      </w:r>
      <w:r>
        <w:rPr>
          <w:rFonts w:hint="eastAsia" w:ascii="仿宋" w:hAnsi="仿宋" w:eastAsia="仿宋" w:cs="Times New Roman"/>
          <w:sz w:val="32"/>
          <w:szCs w:val="32"/>
          <w:lang w:val="en-US" w:eastAsia="zh-CN"/>
        </w:rPr>
        <w:t>主要规定《并网调度协议》和《购售电合同》备案、信息披露相关事宜。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第八章 附则：</w:t>
      </w:r>
      <w:r>
        <w:rPr>
          <w:rFonts w:hint="eastAsia" w:ascii="仿宋" w:hAnsi="仿宋" w:eastAsia="仿宋" w:cs="Times New Roman"/>
          <w:sz w:val="32"/>
          <w:szCs w:val="32"/>
          <w:lang w:val="en-US" w:eastAsia="zh-CN"/>
        </w:rPr>
        <w:t>主要规定细则有效期限等事宜。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（三）《山西风电场并网运行管理实施细则》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第一章 总则：</w:t>
      </w:r>
      <w:r>
        <w:rPr>
          <w:rFonts w:hint="eastAsia" w:ascii="仿宋" w:hAnsi="仿宋" w:eastAsia="仿宋" w:cs="Times New Roman"/>
          <w:sz w:val="32"/>
          <w:szCs w:val="32"/>
          <w:lang w:val="en-US" w:eastAsia="zh-CN"/>
        </w:rPr>
        <w:t>主要规定细则修订依据、适用范围、新（扩）建风电场执行双细则起始日期及我办和调度机构权责。</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第二章 调度管理：</w:t>
      </w:r>
      <w:r>
        <w:rPr>
          <w:rFonts w:hint="eastAsia" w:ascii="仿宋" w:hAnsi="仿宋" w:eastAsia="仿宋" w:cs="Times New Roman"/>
          <w:sz w:val="32"/>
          <w:szCs w:val="32"/>
          <w:lang w:val="en-US" w:eastAsia="zh-CN"/>
        </w:rPr>
        <w:t>主要规定违反调度纪律、未按时上报年度、月度、周、日检修计划工作和执行检修计划管理不严格、安自装置等动作导致风机解列后私自并网、有功功率变化超范围、自身原因造成风机大面积脱网、限制出力时执行调度计划不严格、风功率预测不达标、未按要求上报理论发电功率和可用发电功率和调度运行相关的事项考核电量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第三章 技术管理：</w:t>
      </w:r>
      <w:r>
        <w:rPr>
          <w:rFonts w:hint="eastAsia" w:ascii="仿宋" w:hAnsi="仿宋" w:eastAsia="仿宋" w:cs="Times New Roman"/>
          <w:sz w:val="32"/>
          <w:szCs w:val="32"/>
          <w:lang w:val="en-US" w:eastAsia="zh-CN"/>
        </w:rPr>
        <w:t>主要规定风电场低电压/高电压穿越能力不达标、一次调频功能不达标、不具备有功功率调节能力、自动电压调节功能不达标，继电保护和安自装置、通信设备、自动化设备专业管理不符合要求和设备（装置）运行指标不合格，信息报送不规范等事项的考核电量计算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第四章 计量与结算：</w:t>
      </w:r>
      <w:r>
        <w:rPr>
          <w:rFonts w:hint="eastAsia" w:ascii="仿宋" w:hAnsi="仿宋" w:eastAsia="仿宋" w:cs="Times New Roman"/>
          <w:sz w:val="32"/>
          <w:szCs w:val="32"/>
          <w:lang w:val="en-US" w:eastAsia="zh-CN"/>
        </w:rPr>
        <w:t>主要规定风电场考核电费计算基准、各风电场费用返还计算公式及考核电费结算方式。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第五章 监督与管理：</w:t>
      </w:r>
      <w:r>
        <w:rPr>
          <w:rFonts w:hint="eastAsia" w:ascii="仿宋" w:hAnsi="仿宋" w:eastAsia="仿宋" w:cs="Times New Roman"/>
          <w:sz w:val="32"/>
          <w:szCs w:val="32"/>
          <w:lang w:val="en-US" w:eastAsia="zh-CN"/>
        </w:rPr>
        <w:t>主要规定考核统计结果时间发布要求及争议处理方式。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楷体" w:hAnsi="楷体" w:eastAsia="楷体" w:cs="楷体"/>
          <w:sz w:val="32"/>
          <w:szCs w:val="32"/>
          <w:lang w:val="en-US" w:eastAsia="zh-CN"/>
        </w:rPr>
        <w:t>第六章 附则：</w:t>
      </w:r>
      <w:r>
        <w:rPr>
          <w:rFonts w:hint="eastAsia" w:ascii="仿宋" w:hAnsi="仿宋" w:eastAsia="仿宋" w:cs="Times New Roman"/>
          <w:sz w:val="32"/>
          <w:szCs w:val="32"/>
          <w:lang w:val="en-US" w:eastAsia="zh-CN"/>
        </w:rPr>
        <w:t>主要规定细则有效期限等事宜。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（四）《山西光伏电站并网运行管理实施细则》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章节编排和考核事项与风电场类似。</w:t>
      </w:r>
    </w:p>
    <w:p>
      <w:pPr>
        <w:jc w:val="center"/>
        <w:rPr>
          <w:rFonts w:hint="eastAsia" w:ascii="黑体" w:hAnsi="黑体" w:eastAsia="黑体" w:cs="黑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21006"/>
    <w:rsid w:val="1732621A"/>
    <w:rsid w:val="24B75A0B"/>
    <w:rsid w:val="24FD7694"/>
    <w:rsid w:val="2C2A4919"/>
    <w:rsid w:val="2C3035EF"/>
    <w:rsid w:val="30CF7BB0"/>
    <w:rsid w:val="31EB3DB4"/>
    <w:rsid w:val="3DE1034F"/>
    <w:rsid w:val="3F5508A3"/>
    <w:rsid w:val="6FF47B88"/>
    <w:rsid w:val="7553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03E11662CCF74B628A378F27BAFAD1DE_12</vt:lpwstr>
  </property>
</Properties>
</file>