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lang w:val="en-US" w:eastAsia="zh-CN"/>
        </w:rPr>
      </w:pPr>
      <w:bookmarkStart w:id="0" w:name="_GoBack"/>
      <w:bookmarkEnd w:id="0"/>
      <w:r>
        <w:rPr>
          <w:rFonts w:hint="eastAsia" w:ascii="宋体" w:hAnsi="宋体" w:eastAsia="宋体" w:cs="宋体"/>
          <w:b/>
          <w:sz w:val="44"/>
          <w:szCs w:val="44"/>
        </w:rPr>
        <w:t>《山西电力中长期分时段交易实施细则》</w:t>
      </w:r>
      <w:r>
        <w:rPr>
          <w:rFonts w:hint="eastAsia" w:ascii="宋体" w:hAnsi="宋体" w:eastAsia="宋体" w:cs="宋体"/>
          <w:b/>
          <w:sz w:val="44"/>
          <w:szCs w:val="44"/>
          <w:lang w:val="en-US" w:eastAsia="zh-CN"/>
        </w:rPr>
        <w:t>政策解读</w:t>
      </w:r>
    </w:p>
    <w:p>
      <w:pPr>
        <w:spacing w:beforeLines="100"/>
        <w:ind w:firstLine="640" w:firstLineChars="200"/>
        <w:rPr>
          <w:rFonts w:hint="eastAsia" w:ascii="仿宋" w:hAnsi="仿宋" w:eastAsia="仿宋"/>
          <w:sz w:val="32"/>
          <w:szCs w:val="32"/>
          <w:lang w:eastAsia="zh-CN"/>
        </w:rPr>
      </w:pPr>
      <w:r>
        <w:rPr>
          <w:rFonts w:hint="eastAsia" w:ascii="仿宋" w:hAnsi="仿宋" w:eastAsia="仿宋"/>
          <w:sz w:val="32"/>
          <w:szCs w:val="32"/>
        </w:rPr>
        <w:t>为持续深化电力市场改革，建立电力中长期分时交易机制，做好与现货市场</w:t>
      </w:r>
      <w:r>
        <w:rPr>
          <w:rFonts w:hint="eastAsia" w:ascii="仿宋" w:hAnsi="仿宋" w:eastAsia="仿宋"/>
          <w:sz w:val="32"/>
          <w:szCs w:val="32"/>
          <w:lang w:val="en-US" w:eastAsia="zh-CN"/>
        </w:rPr>
        <w:t>长周期运行</w:t>
      </w:r>
      <w:r>
        <w:rPr>
          <w:rFonts w:hint="eastAsia" w:ascii="仿宋" w:hAnsi="仿宋" w:eastAsia="仿宋"/>
          <w:sz w:val="32"/>
          <w:szCs w:val="32"/>
        </w:rPr>
        <w:t>的衔接，</w:t>
      </w:r>
      <w:r>
        <w:rPr>
          <w:rFonts w:hint="eastAsia" w:ascii="仿宋" w:hAnsi="仿宋" w:eastAsia="仿宋"/>
          <w:sz w:val="32"/>
          <w:szCs w:val="32"/>
          <w:lang w:val="en-US" w:eastAsia="zh-CN"/>
        </w:rPr>
        <w:t>结合自2021年7月份以来4个月的试运行情况，山西能源监管办编制了《山西电力中长期分时段交易实施细则》，</w:t>
      </w:r>
      <w:r>
        <w:rPr>
          <w:rFonts w:hint="eastAsia" w:ascii="仿宋" w:hAnsi="仿宋" w:eastAsia="仿宋"/>
          <w:sz w:val="32"/>
          <w:szCs w:val="32"/>
        </w:rPr>
        <w:t>现将</w:t>
      </w:r>
      <w:r>
        <w:rPr>
          <w:rFonts w:hint="eastAsia" w:ascii="仿宋" w:hAnsi="仿宋" w:eastAsia="仿宋"/>
          <w:sz w:val="32"/>
          <w:szCs w:val="32"/>
          <w:lang w:val="en-US" w:eastAsia="zh-CN"/>
        </w:rPr>
        <w:t>重点内容说</w:t>
      </w:r>
      <w:r>
        <w:rPr>
          <w:rFonts w:hint="eastAsia" w:ascii="仿宋" w:hAnsi="仿宋" w:eastAsia="仿宋"/>
          <w:sz w:val="32"/>
          <w:szCs w:val="32"/>
        </w:rPr>
        <w:t>明如下</w:t>
      </w:r>
      <w:r>
        <w:rPr>
          <w:rFonts w:hint="eastAsia" w:ascii="仿宋" w:hAnsi="仿宋" w:eastAsia="仿宋"/>
          <w:sz w:val="32"/>
          <w:szCs w:val="32"/>
          <w:lang w:eastAsia="zh-CN"/>
        </w:rPr>
        <w:t>。</w:t>
      </w:r>
    </w:p>
    <w:p>
      <w:pPr>
        <w:spacing w:beforeLines="50" w:afterLines="50"/>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修</w:t>
      </w:r>
      <w:r>
        <w:rPr>
          <w:rFonts w:hint="eastAsia" w:ascii="黑体" w:hAnsi="黑体" w:eastAsia="黑体"/>
          <w:sz w:val="32"/>
          <w:szCs w:val="32"/>
        </w:rPr>
        <w:t>订</w:t>
      </w:r>
      <w:r>
        <w:rPr>
          <w:rFonts w:ascii="黑体" w:hAnsi="黑体" w:eastAsia="黑体"/>
          <w:sz w:val="32"/>
          <w:szCs w:val="32"/>
        </w:rPr>
        <w:t>背景</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一是</w:t>
      </w:r>
      <w:r>
        <w:rPr>
          <w:rFonts w:hint="eastAsia" w:ascii="仿宋" w:hAnsi="仿宋" w:eastAsia="仿宋"/>
          <w:sz w:val="32"/>
          <w:szCs w:val="32"/>
          <w:lang w:val="en-US" w:eastAsia="zh-CN"/>
        </w:rPr>
        <w:t>在2020年9月召开的</w:t>
      </w:r>
      <w:r>
        <w:rPr>
          <w:rFonts w:hint="eastAsia" w:ascii="仿宋" w:hAnsi="仿宋" w:eastAsia="仿宋"/>
          <w:sz w:val="32"/>
          <w:szCs w:val="32"/>
        </w:rPr>
        <w:t>电力市场化改革和中长期合同的专题会议</w:t>
      </w:r>
      <w:r>
        <w:rPr>
          <w:rFonts w:hint="eastAsia" w:ascii="仿宋" w:hAnsi="仿宋" w:eastAsia="仿宋"/>
          <w:sz w:val="32"/>
          <w:szCs w:val="32"/>
          <w:lang w:val="en-US" w:eastAsia="zh-CN"/>
        </w:rPr>
        <w:t>上，连维良主任明确要求，中长期交易要分段签约，交易合同要分不同时段不同电价，和现货分时电价配套衔接，形成全电量的分时电价机制。</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二是《国家发展改革委关于进一步完善分时电价机制的通知》（发改价格〔2021〕1093号）、《国家发展改革委关于进一步深化燃煤发电上网电价市场化改革的通知》（发改价格〔2021〕1439号）</w:t>
      </w:r>
      <w:r>
        <w:rPr>
          <w:rFonts w:hint="eastAsia" w:ascii="仿宋" w:hAnsi="仿宋" w:eastAsia="仿宋"/>
          <w:sz w:val="32"/>
          <w:szCs w:val="32"/>
          <w:lang w:val="en-US" w:eastAsia="zh-CN"/>
        </w:rPr>
        <w:t>明确要求，形成有效的市场化分时电价信号，更好引导用户削峰填谷、促进新能源消纳。</w:t>
      </w:r>
    </w:p>
    <w:p>
      <w:pPr>
        <w:ind w:firstLine="640" w:firstLineChars="200"/>
        <w:rPr>
          <w:rFonts w:ascii="仿宋" w:hAnsi="仿宋" w:eastAsia="仿宋"/>
          <w:sz w:val="32"/>
          <w:szCs w:val="32"/>
          <w:lang w:val="en-US"/>
        </w:rPr>
      </w:pPr>
      <w:r>
        <w:rPr>
          <w:rFonts w:hint="eastAsia" w:ascii="仿宋" w:hAnsi="仿宋" w:eastAsia="仿宋"/>
          <w:sz w:val="32"/>
          <w:szCs w:val="32"/>
        </w:rPr>
        <w:t>三是</w:t>
      </w:r>
      <w:r>
        <w:rPr>
          <w:rFonts w:hint="eastAsia" w:ascii="仿宋" w:hAnsi="仿宋" w:eastAsia="仿宋"/>
          <w:sz w:val="32"/>
          <w:szCs w:val="32"/>
          <w:lang w:val="en-US" w:eastAsia="zh-CN"/>
        </w:rPr>
        <w:t>省能源局</w:t>
      </w:r>
      <w:r>
        <w:rPr>
          <w:rFonts w:hint="eastAsia" w:ascii="仿宋" w:hAnsi="仿宋" w:eastAsia="仿宋"/>
          <w:sz w:val="32"/>
          <w:szCs w:val="32"/>
        </w:rPr>
        <w:t>主导</w:t>
      </w:r>
      <w:r>
        <w:rPr>
          <w:rFonts w:hint="eastAsia" w:ascii="仿宋" w:hAnsi="仿宋" w:eastAsia="仿宋"/>
          <w:sz w:val="32"/>
          <w:szCs w:val="32"/>
          <w:lang w:val="en-US" w:eastAsia="zh-CN"/>
        </w:rPr>
        <w:t>的电力中长期分时段交易7月份启动后，因时段限价区间偏窄、交易形式不健全、回收机制不合理出现了成交电量极度不均衡、套利空间巨大等问题，市场风险陡增，迫切需要对试点方案修订完善，规范交易行为，控制市场风险。</w:t>
      </w:r>
    </w:p>
    <w:p>
      <w:pPr>
        <w:spacing w:beforeLines="50" w:afterLines="50"/>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、主要内容</w:t>
      </w:r>
    </w:p>
    <w:p>
      <w:pPr>
        <w:ind w:firstLine="640" w:firstLineChars="200"/>
        <w:rPr>
          <w:rFonts w:ascii="仿宋" w:hAnsi="仿宋" w:eastAsia="仿宋"/>
          <w:sz w:val="32"/>
          <w:szCs w:val="32"/>
        </w:rPr>
      </w:pPr>
      <w:r>
        <w:rPr>
          <w:rFonts w:ascii="楷体" w:hAnsi="楷体" w:eastAsia="楷体"/>
          <w:sz w:val="32"/>
          <w:szCs w:val="32"/>
        </w:rPr>
        <w:t>第一章</w:t>
      </w:r>
      <w:r>
        <w:rPr>
          <w:rFonts w:hint="eastAsia" w:ascii="楷体" w:hAnsi="楷体" w:eastAsia="楷体"/>
          <w:sz w:val="32"/>
          <w:szCs w:val="32"/>
        </w:rPr>
        <w:t xml:space="preserve"> 总则：</w:t>
      </w:r>
      <w:r>
        <w:rPr>
          <w:rFonts w:hint="eastAsia" w:ascii="仿宋" w:hAnsi="仿宋" w:eastAsia="仿宋"/>
          <w:sz w:val="32"/>
          <w:szCs w:val="32"/>
          <w:lang w:val="en-US" w:eastAsia="zh-CN"/>
        </w:rPr>
        <w:t>内容</w:t>
      </w:r>
      <w:r>
        <w:rPr>
          <w:rFonts w:hint="eastAsia" w:ascii="仿宋" w:hAnsi="仿宋" w:eastAsia="仿宋"/>
          <w:sz w:val="32"/>
          <w:szCs w:val="32"/>
        </w:rPr>
        <w:t>主要</w:t>
      </w:r>
      <w:r>
        <w:rPr>
          <w:rFonts w:hint="eastAsia" w:ascii="仿宋" w:hAnsi="仿宋" w:eastAsia="仿宋"/>
          <w:sz w:val="32"/>
          <w:szCs w:val="32"/>
          <w:lang w:val="en-US" w:eastAsia="zh-CN"/>
        </w:rPr>
        <w:t>包括</w:t>
      </w:r>
      <w:r>
        <w:rPr>
          <w:rFonts w:hint="eastAsia" w:ascii="仿宋" w:hAnsi="仿宋" w:eastAsia="仿宋"/>
          <w:sz w:val="32"/>
          <w:szCs w:val="32"/>
        </w:rPr>
        <w:t>细则修订依据</w:t>
      </w:r>
      <w:r>
        <w:rPr>
          <w:rFonts w:hint="eastAsia" w:ascii="仿宋" w:hAnsi="仿宋" w:eastAsia="仿宋"/>
          <w:sz w:val="32"/>
          <w:szCs w:val="32"/>
          <w:lang w:eastAsia="zh-CN"/>
        </w:rPr>
        <w:t>、</w:t>
      </w:r>
      <w:r>
        <w:rPr>
          <w:rFonts w:hint="eastAsia" w:ascii="仿宋" w:hAnsi="仿宋" w:eastAsia="仿宋"/>
          <w:sz w:val="32"/>
          <w:szCs w:val="32"/>
          <w:lang w:val="en-US" w:eastAsia="zh-CN"/>
        </w:rPr>
        <w:t>时段划分、交易周期和适用范围等内容</w:t>
      </w:r>
      <w:r>
        <w:rPr>
          <w:rFonts w:hint="eastAsia" w:ascii="仿宋" w:hAnsi="仿宋" w:eastAsia="仿宋"/>
          <w:sz w:val="32"/>
          <w:szCs w:val="32"/>
        </w:rPr>
        <w:t>。</w:t>
      </w:r>
    </w:p>
    <w:p>
      <w:pPr>
        <w:ind w:firstLine="640" w:firstLineChars="200"/>
        <w:rPr>
          <w:rFonts w:ascii="仿宋" w:hAnsi="仿宋" w:eastAsia="仿宋"/>
          <w:sz w:val="32"/>
          <w:szCs w:val="32"/>
        </w:rPr>
      </w:pPr>
      <w:r>
        <w:rPr>
          <w:rFonts w:ascii="楷体" w:hAnsi="楷体" w:eastAsia="楷体"/>
          <w:sz w:val="32"/>
          <w:szCs w:val="32"/>
        </w:rPr>
        <w:t>第二章</w:t>
      </w:r>
      <w:r>
        <w:rPr>
          <w:rFonts w:hint="eastAsia" w:ascii="楷体" w:hAnsi="楷体" w:eastAsia="楷体"/>
          <w:sz w:val="32"/>
          <w:szCs w:val="32"/>
        </w:rPr>
        <w:t xml:space="preserve"> </w:t>
      </w:r>
      <w:r>
        <w:rPr>
          <w:rFonts w:hint="eastAsia" w:ascii="楷体" w:hAnsi="楷体" w:eastAsia="楷体"/>
          <w:sz w:val="32"/>
          <w:szCs w:val="32"/>
          <w:lang w:val="en-US" w:eastAsia="zh-CN"/>
        </w:rPr>
        <w:t>交易组织</w:t>
      </w:r>
      <w:r>
        <w:rPr>
          <w:rFonts w:hint="eastAsia" w:ascii="楷体" w:hAnsi="楷体" w:eastAsia="楷体"/>
          <w:sz w:val="32"/>
          <w:szCs w:val="32"/>
        </w:rPr>
        <w:t>：</w:t>
      </w:r>
      <w:r>
        <w:rPr>
          <w:rFonts w:hint="eastAsia" w:ascii="仿宋" w:hAnsi="仿宋" w:eastAsia="仿宋"/>
          <w:sz w:val="32"/>
          <w:szCs w:val="32"/>
          <w:lang w:val="en-US" w:eastAsia="zh-CN"/>
        </w:rPr>
        <w:t>内容</w:t>
      </w:r>
      <w:r>
        <w:rPr>
          <w:rFonts w:hint="eastAsia" w:ascii="仿宋" w:hAnsi="仿宋" w:eastAsia="仿宋"/>
          <w:sz w:val="32"/>
          <w:szCs w:val="32"/>
        </w:rPr>
        <w:t>主要</w:t>
      </w:r>
      <w:r>
        <w:rPr>
          <w:rFonts w:hint="eastAsia" w:ascii="仿宋" w:hAnsi="仿宋" w:eastAsia="仿宋"/>
          <w:sz w:val="32"/>
          <w:szCs w:val="32"/>
          <w:lang w:val="en-US" w:eastAsia="zh-CN"/>
        </w:rPr>
        <w:t>包括交易方式、出清原则、及年度、多月、月、旬交易标的和成交电量分解原则</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楷体" w:hAnsi="楷体" w:eastAsia="楷体"/>
          <w:sz w:val="32"/>
          <w:szCs w:val="32"/>
        </w:rPr>
        <w:t xml:space="preserve">第三章 </w:t>
      </w:r>
      <w:r>
        <w:rPr>
          <w:rFonts w:hint="eastAsia" w:ascii="楷体" w:hAnsi="楷体" w:eastAsia="楷体"/>
          <w:sz w:val="32"/>
          <w:szCs w:val="32"/>
          <w:lang w:val="en-US" w:eastAsia="zh-CN"/>
        </w:rPr>
        <w:t>价格限制</w:t>
      </w:r>
      <w:r>
        <w:rPr>
          <w:rFonts w:hint="eastAsia" w:ascii="楷体" w:hAnsi="楷体" w:eastAsia="楷体"/>
          <w:sz w:val="32"/>
          <w:szCs w:val="32"/>
        </w:rPr>
        <w:t>：</w:t>
      </w:r>
      <w:r>
        <w:rPr>
          <w:rFonts w:hint="eastAsia" w:ascii="仿宋" w:hAnsi="仿宋" w:eastAsia="仿宋"/>
          <w:sz w:val="32"/>
          <w:szCs w:val="32"/>
          <w:lang w:val="en-US" w:eastAsia="zh-CN"/>
        </w:rPr>
        <w:t>内容主要包括尖峰、高峰、平段、低谷、深谷5个时段的划分和各时段限价范围确定原则</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根据《国家发展改革委关于进一步完善分时电价机制的通知》（发改价格〔2021〕1093号），结合山西电网运行实际，将每天24个小时划分为尖峰、高峰、平段、低谷、深谷5类时段，尖峰电价在高峰电价基础上上浮20%，深谷电价在低谷电价基础上下浮20%。根据《国家发展改革委关于进一步深化燃煤发电上网电价市场化改革的通知》（发改价格〔2021〕1439号），市场交易电价上下浮动范围为基准价的-20%至+20%。基准电价为332元MWh。</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根据《关于修订山西省电网峰谷分时电价实施办法》（晋价工字〔1996〕106号），高峰电价在平段电价基础上上浮50%，低谷电价在平段电价基础上下浮46.5%。结合尖峰、深谷上下浮动±20%机制，最终确定电力中长期分时段交易最低和最高限价分别为113.7元/MWh和717.2元/MWh。</w:t>
      </w:r>
    </w:p>
    <w:p>
      <w:pPr>
        <w:ind w:firstLine="640" w:firstLineChars="200"/>
        <w:rPr>
          <w:rFonts w:ascii="仿宋" w:hAnsi="仿宋" w:eastAsia="仿宋"/>
          <w:sz w:val="32"/>
          <w:szCs w:val="32"/>
        </w:rPr>
      </w:pPr>
      <w:r>
        <w:rPr>
          <w:rFonts w:hint="eastAsia" w:ascii="楷体" w:hAnsi="楷体" w:eastAsia="楷体"/>
          <w:sz w:val="32"/>
          <w:szCs w:val="32"/>
        </w:rPr>
        <w:t xml:space="preserve">第四章 </w:t>
      </w:r>
      <w:r>
        <w:rPr>
          <w:rFonts w:hint="eastAsia" w:ascii="楷体" w:hAnsi="楷体" w:eastAsia="楷体"/>
          <w:sz w:val="32"/>
          <w:szCs w:val="32"/>
          <w:lang w:val="en-US" w:eastAsia="zh-CN"/>
        </w:rPr>
        <w:t>成交量约束</w:t>
      </w:r>
      <w:r>
        <w:rPr>
          <w:rFonts w:hint="eastAsia" w:ascii="楷体" w:hAnsi="楷体" w:eastAsia="楷体"/>
          <w:sz w:val="32"/>
          <w:szCs w:val="32"/>
        </w:rPr>
        <w:t>：</w:t>
      </w:r>
      <w:r>
        <w:rPr>
          <w:rFonts w:hint="eastAsia" w:ascii="仿宋" w:hAnsi="仿宋" w:eastAsia="仿宋"/>
          <w:sz w:val="32"/>
          <w:szCs w:val="32"/>
          <w:lang w:val="en-US" w:eastAsia="zh-CN"/>
        </w:rPr>
        <w:t>内容主要包括分时段交易过程中火电企业、新能源企业、批发用户在各时段的申报电量、成交电量上下限，以及触发限值后的获利回收计算方法</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楷体" w:hAnsi="楷体" w:eastAsia="楷体"/>
          <w:sz w:val="32"/>
          <w:szCs w:val="32"/>
        </w:rPr>
        <w:t xml:space="preserve">第五章 </w:t>
      </w:r>
      <w:r>
        <w:rPr>
          <w:rFonts w:hint="eastAsia" w:ascii="楷体" w:hAnsi="楷体" w:eastAsia="楷体"/>
          <w:sz w:val="32"/>
          <w:szCs w:val="32"/>
          <w:lang w:val="en-US" w:eastAsia="zh-CN"/>
        </w:rPr>
        <w:t>金融套利约束</w:t>
      </w:r>
      <w:r>
        <w:rPr>
          <w:rFonts w:hint="eastAsia" w:ascii="楷体" w:hAnsi="楷体" w:eastAsia="楷体"/>
          <w:sz w:val="32"/>
          <w:szCs w:val="32"/>
        </w:rPr>
        <w:t>：</w:t>
      </w:r>
      <w:r>
        <w:rPr>
          <w:rFonts w:hint="eastAsia" w:ascii="仿宋" w:hAnsi="仿宋" w:eastAsia="仿宋"/>
          <w:sz w:val="32"/>
          <w:szCs w:val="32"/>
          <w:lang w:val="en-US" w:eastAsia="zh-CN"/>
        </w:rPr>
        <w:t>内容主要包括分时段交易过程中火电企业、新能源企业、批发用户在各时段的买入卖出电量比例上限，防止发电企业过多卖出再买入、用户侧过多买入再卖出套利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楷体" w:hAnsi="楷体" w:eastAsia="楷体"/>
          <w:sz w:val="32"/>
          <w:szCs w:val="32"/>
        </w:rPr>
        <w:t xml:space="preserve">第六章 </w:t>
      </w:r>
      <w:r>
        <w:rPr>
          <w:rFonts w:hint="eastAsia" w:ascii="楷体" w:hAnsi="楷体" w:eastAsia="楷体"/>
          <w:sz w:val="32"/>
          <w:szCs w:val="32"/>
          <w:lang w:val="en-US" w:eastAsia="zh-CN"/>
        </w:rPr>
        <w:t>中长期分时段交易衔接机制</w:t>
      </w:r>
      <w:r>
        <w:rPr>
          <w:rFonts w:hint="eastAsia" w:ascii="楷体" w:hAnsi="楷体" w:eastAsia="楷体"/>
          <w:sz w:val="32"/>
          <w:szCs w:val="32"/>
        </w:rPr>
        <w:t>：</w:t>
      </w:r>
      <w:r>
        <w:rPr>
          <w:rFonts w:hint="eastAsia" w:ascii="仿宋" w:hAnsi="仿宋" w:eastAsia="仿宋"/>
          <w:sz w:val="32"/>
          <w:szCs w:val="32"/>
          <w:lang w:val="en-US" w:eastAsia="zh-CN"/>
        </w:rPr>
        <w:t>内容主要包括分时段交易与现货交易、战略新兴产业交易、外送交易、政府定价电量、用户阅月度结算等流程的衔接</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楷体" w:hAnsi="楷体" w:eastAsia="楷体"/>
          <w:sz w:val="32"/>
          <w:szCs w:val="32"/>
        </w:rPr>
        <w:t xml:space="preserve">第七章 </w:t>
      </w:r>
      <w:r>
        <w:rPr>
          <w:rFonts w:hint="eastAsia" w:ascii="楷体" w:hAnsi="楷体" w:eastAsia="楷体"/>
          <w:sz w:val="32"/>
          <w:szCs w:val="32"/>
          <w:lang w:val="en-US" w:eastAsia="zh-CN"/>
        </w:rPr>
        <w:t>信息披露</w:t>
      </w:r>
      <w:r>
        <w:rPr>
          <w:rFonts w:hint="eastAsia" w:ascii="楷体" w:hAnsi="楷体" w:eastAsia="楷体"/>
          <w:sz w:val="32"/>
          <w:szCs w:val="32"/>
        </w:rPr>
        <w:t>：</w:t>
      </w:r>
      <w:r>
        <w:rPr>
          <w:rFonts w:hint="eastAsia" w:ascii="仿宋" w:hAnsi="仿宋" w:eastAsia="仿宋"/>
          <w:sz w:val="32"/>
          <w:szCs w:val="32"/>
          <w:lang w:val="en-US" w:eastAsia="zh-CN"/>
        </w:rPr>
        <w:t>内容主要包括市场运营机构在不同交易方式事前、事中、事后应该披露的信息内容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楷体" w:hAnsi="楷体" w:eastAsia="楷体"/>
          <w:sz w:val="32"/>
          <w:szCs w:val="32"/>
        </w:rPr>
        <w:t xml:space="preserve">第八章 </w:t>
      </w:r>
      <w:r>
        <w:rPr>
          <w:rFonts w:hint="eastAsia" w:ascii="楷体" w:hAnsi="楷体" w:eastAsia="楷体"/>
          <w:sz w:val="32"/>
          <w:szCs w:val="32"/>
          <w:lang w:val="en-US" w:eastAsia="zh-CN"/>
        </w:rPr>
        <w:t>零售市场分时段交易</w:t>
      </w:r>
      <w:r>
        <w:rPr>
          <w:rFonts w:hint="eastAsia" w:ascii="楷体" w:hAnsi="楷体" w:eastAsia="楷体"/>
          <w:sz w:val="32"/>
          <w:szCs w:val="32"/>
        </w:rPr>
        <w:t>：</w:t>
      </w:r>
      <w:r>
        <w:rPr>
          <w:rFonts w:hint="eastAsia" w:ascii="仿宋" w:hAnsi="仿宋" w:eastAsia="仿宋"/>
          <w:sz w:val="32"/>
          <w:szCs w:val="32"/>
          <w:lang w:val="en-US" w:eastAsia="zh-CN"/>
        </w:rPr>
        <w:t>内容主要包括零售用户 参与分时段交易具备条件、零售电价确定方法及偏差电量传导原则</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楷体" w:hAnsi="楷体" w:eastAsia="楷体"/>
          <w:sz w:val="32"/>
          <w:szCs w:val="32"/>
        </w:rPr>
        <w:t>第</w:t>
      </w:r>
      <w:r>
        <w:rPr>
          <w:rFonts w:hint="eastAsia" w:ascii="楷体" w:hAnsi="楷体" w:eastAsia="楷体"/>
          <w:sz w:val="32"/>
          <w:szCs w:val="32"/>
          <w:lang w:val="en-US" w:eastAsia="zh-CN"/>
        </w:rPr>
        <w:t>九</w:t>
      </w:r>
      <w:r>
        <w:rPr>
          <w:rFonts w:hint="eastAsia" w:ascii="楷体" w:hAnsi="楷体" w:eastAsia="楷体"/>
          <w:sz w:val="32"/>
          <w:szCs w:val="32"/>
        </w:rPr>
        <w:t>章 附则：</w:t>
      </w:r>
      <w:r>
        <w:rPr>
          <w:rFonts w:hint="eastAsia" w:ascii="仿宋" w:hAnsi="仿宋" w:eastAsia="仿宋"/>
          <w:sz w:val="32"/>
          <w:szCs w:val="32"/>
        </w:rPr>
        <w:t>主要介绍细则由山西能源监管办</w:t>
      </w:r>
      <w:r>
        <w:rPr>
          <w:rFonts w:hint="eastAsia" w:ascii="仿宋" w:hAnsi="仿宋" w:eastAsia="仿宋"/>
          <w:sz w:val="32"/>
          <w:szCs w:val="32"/>
          <w:lang w:eastAsia="zh-CN"/>
        </w:rPr>
        <w:t>、</w:t>
      </w:r>
      <w:r>
        <w:rPr>
          <w:rFonts w:hint="eastAsia" w:ascii="仿宋" w:hAnsi="仿宋" w:eastAsia="仿宋"/>
          <w:sz w:val="32"/>
          <w:szCs w:val="32"/>
          <w:lang w:val="en-US" w:eastAsia="zh-CN"/>
        </w:rPr>
        <w:t>省发改委、省能源局负责</w:t>
      </w:r>
      <w:r>
        <w:rPr>
          <w:rFonts w:hint="eastAsia" w:ascii="仿宋" w:hAnsi="仿宋" w:eastAsia="仿宋"/>
          <w:sz w:val="32"/>
          <w:szCs w:val="32"/>
        </w:rPr>
        <w:t>解释和有效期。</w:t>
      </w:r>
    </w:p>
    <w:p>
      <w:pPr>
        <w:jc w:val="center"/>
        <w:rPr>
          <w:rFonts w:hint="eastAsia" w:asciiTheme="minorEastAsia" w:hAnsiTheme="minorEastAsia"/>
          <w:b/>
          <w:sz w:val="44"/>
          <w:szCs w:val="44"/>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37B5F"/>
    <w:rsid w:val="26F30A51"/>
    <w:rsid w:val="7E6E4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随心所欲</cp:lastModifiedBy>
  <dcterms:modified xsi:type="dcterms:W3CDTF">2024-01-12T06:36:00Z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E250165CB5E5485BA71127F9B735C159_12</vt:lpwstr>
  </property>
</Properties>
</file>