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hint="eastAsia" w:ascii="宋体" w:hAnsi="宋体" w:eastAsia="宋体"/>
          <w:b/>
          <w:sz w:val="44"/>
          <w:szCs w:val="44"/>
          <w:lang w:val="en-US" w:eastAsia="zh-CN"/>
        </w:rPr>
      </w:pPr>
      <w:r>
        <w:rPr>
          <w:rFonts w:hint="eastAsia" w:ascii="宋体" w:hAnsi="宋体"/>
          <w:b/>
          <w:sz w:val="44"/>
          <w:szCs w:val="44"/>
        </w:rPr>
        <w:t>《山西</w:t>
      </w:r>
      <w:r>
        <w:rPr>
          <w:rFonts w:hint="eastAsia" w:ascii="宋体" w:hAnsi="宋体"/>
          <w:b/>
          <w:sz w:val="44"/>
          <w:szCs w:val="44"/>
          <w:lang w:val="en-US" w:eastAsia="zh-CN"/>
        </w:rPr>
        <w:t>独立</w:t>
      </w:r>
      <w:r>
        <w:rPr>
          <w:rFonts w:hint="eastAsia" w:ascii="宋体" w:hAnsi="宋体"/>
          <w:b/>
          <w:sz w:val="44"/>
          <w:szCs w:val="44"/>
        </w:rPr>
        <w:t>储能电站并网运行管理实施细则（试行）》</w:t>
      </w:r>
      <w:r>
        <w:rPr>
          <w:rFonts w:hint="eastAsia" w:ascii="宋体" w:hAnsi="宋体"/>
          <w:b/>
          <w:sz w:val="44"/>
          <w:szCs w:val="44"/>
          <w:lang w:val="en-US" w:eastAsia="zh-CN"/>
        </w:rPr>
        <w:t>政策解读</w:t>
      </w:r>
    </w:p>
    <w:p>
      <w:pPr>
        <w:numPr>
          <w:ilvl w:val="0"/>
          <w:numId w:val="1"/>
        </w:numPr>
        <w:spacing w:before="156" w:beforeLines="50" w:after="156" w:afterLines="50"/>
        <w:ind w:firstLine="640" w:firstLineChars="200"/>
        <w:rPr>
          <w:rFonts w:hint="eastAsia" w:ascii="黑体" w:hAnsi="黑体" w:eastAsia="黑体"/>
          <w:sz w:val="32"/>
          <w:szCs w:val="32"/>
        </w:rPr>
      </w:pPr>
      <w:r>
        <w:rPr>
          <w:rFonts w:hint="eastAsia" w:ascii="黑体" w:hAnsi="黑体" w:eastAsia="黑体"/>
          <w:sz w:val="32"/>
          <w:szCs w:val="32"/>
        </w:rPr>
        <w:t>编制必要性</w:t>
      </w:r>
    </w:p>
    <w:p>
      <w:pPr>
        <w:ind w:firstLine="640" w:firstLineChars="200"/>
        <w:rPr>
          <w:rFonts w:hint="eastAsia" w:ascii="黑体" w:hAnsi="黑体" w:eastAsia="仿宋"/>
          <w:sz w:val="32"/>
          <w:szCs w:val="32"/>
          <w:lang w:val="en-US" w:eastAsia="zh-CN"/>
        </w:rPr>
      </w:pPr>
      <w:r>
        <w:rPr>
          <w:rFonts w:hint="eastAsia" w:ascii="仿宋" w:hAnsi="仿宋" w:eastAsia="仿宋" w:cs="仿宋"/>
          <w:sz w:val="32"/>
          <w:szCs w:val="32"/>
        </w:rPr>
        <w:t>双碳目标背景下，电力系统中新能源占比逐渐提高，</w:t>
      </w:r>
      <w:r>
        <w:rPr>
          <w:rFonts w:hint="eastAsia" w:ascii="仿宋" w:hAnsi="仿宋" w:eastAsia="仿宋" w:cs="仿宋"/>
          <w:sz w:val="32"/>
          <w:szCs w:val="32"/>
          <w:lang w:val="en-US" w:eastAsia="zh-CN"/>
        </w:rPr>
        <w:t>根据山西可再生能源发展“十四五”规划，到2025年，全省新能源装机达8000万千瓦左右，新能源装机占比达50%，到2030年，全省新能源装机占比达60%以上。高比例新能源电力系统对电网的灵活调节能力提出了更高的要求，而</w:t>
      </w:r>
      <w:r>
        <w:rPr>
          <w:rFonts w:hint="eastAsia" w:ascii="仿宋" w:hAnsi="仿宋" w:eastAsia="仿宋" w:cs="仿宋"/>
          <w:sz w:val="32"/>
          <w:szCs w:val="32"/>
        </w:rPr>
        <w:t>储能的广泛应用是实现新能源大规模接入，提高电力系统效率、安全性和经济性的关键。</w:t>
      </w:r>
      <w:r>
        <w:rPr>
          <w:rFonts w:hint="eastAsia" w:ascii="仿宋" w:hAnsi="仿宋" w:eastAsia="仿宋" w:cs="仿宋"/>
          <w:sz w:val="32"/>
          <w:szCs w:val="32"/>
          <w:lang w:val="en-US" w:eastAsia="zh-CN"/>
        </w:rPr>
        <w:t>国家有关部门多次出台相关政策鼓励储能电站建设，参与系统调节，并先后出台多项技术标准，规范储能建设运行，但储能电站的并网运行管理方面规定仍存在空白。</w:t>
      </w:r>
      <w:r>
        <w:rPr>
          <w:rFonts w:hint="eastAsia" w:ascii="仿宋" w:hAnsi="仿宋" w:eastAsia="仿宋" w:cs="仿宋"/>
          <w:sz w:val="32"/>
          <w:szCs w:val="32"/>
        </w:rPr>
        <w:t>为</w:t>
      </w:r>
      <w:r>
        <w:rPr>
          <w:rFonts w:hint="eastAsia" w:ascii="仿宋" w:hAnsi="仿宋" w:eastAsia="仿宋" w:cs="仿宋"/>
          <w:sz w:val="32"/>
          <w:szCs w:val="32"/>
          <w:lang w:val="en-US" w:eastAsia="zh-CN"/>
        </w:rPr>
        <w:t>规范独立</w:t>
      </w:r>
      <w:r>
        <w:rPr>
          <w:rFonts w:hint="eastAsia" w:ascii="仿宋" w:hAnsi="仿宋" w:eastAsia="仿宋" w:cs="仿宋"/>
          <w:sz w:val="32"/>
          <w:szCs w:val="32"/>
        </w:rPr>
        <w:t>储能</w:t>
      </w:r>
      <w:r>
        <w:rPr>
          <w:rFonts w:hint="eastAsia" w:ascii="仿宋" w:hAnsi="仿宋" w:eastAsia="仿宋" w:cs="仿宋"/>
          <w:sz w:val="32"/>
          <w:szCs w:val="32"/>
          <w:lang w:val="en-US" w:eastAsia="zh-CN"/>
        </w:rPr>
        <w:t>电站</w:t>
      </w:r>
      <w:r>
        <w:rPr>
          <w:rFonts w:hint="eastAsia" w:ascii="仿宋" w:hAnsi="仿宋" w:eastAsia="仿宋" w:cs="仿宋"/>
          <w:sz w:val="32"/>
          <w:szCs w:val="32"/>
        </w:rPr>
        <w:t>并网</w:t>
      </w:r>
      <w:r>
        <w:rPr>
          <w:rFonts w:hint="eastAsia" w:ascii="仿宋" w:hAnsi="仿宋" w:eastAsia="仿宋" w:cs="仿宋"/>
          <w:sz w:val="32"/>
          <w:szCs w:val="32"/>
          <w:lang w:val="en-US" w:eastAsia="zh-CN"/>
        </w:rPr>
        <w:t>运行</w:t>
      </w:r>
      <w:r>
        <w:rPr>
          <w:rFonts w:hint="eastAsia" w:ascii="仿宋" w:hAnsi="仿宋" w:eastAsia="仿宋" w:cs="仿宋"/>
          <w:sz w:val="32"/>
          <w:szCs w:val="32"/>
        </w:rPr>
        <w:t>，保障山西电力系统安全稳定运行，积极落实国家促进储能技术发展政策，规范储能电站并网调度运行管理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编制了《山西独立储能电站并网运行管理实施细则（试行）》。</w:t>
      </w:r>
    </w:p>
    <w:p>
      <w:pPr>
        <w:numPr>
          <w:ilvl w:val="0"/>
          <w:numId w:val="1"/>
        </w:numPr>
        <w:spacing w:before="156" w:beforeLines="50" w:after="156" w:afterLines="50"/>
        <w:ind w:firstLine="640" w:firstLineChars="200"/>
        <w:rPr>
          <w:rFonts w:ascii="黑体" w:hAnsi="黑体" w:eastAsia="黑体"/>
          <w:sz w:val="32"/>
          <w:szCs w:val="32"/>
        </w:rPr>
      </w:pPr>
      <w:r>
        <w:rPr>
          <w:rFonts w:hint="eastAsia" w:ascii="黑体" w:hAnsi="黑体" w:eastAsia="黑体"/>
          <w:sz w:val="32"/>
          <w:szCs w:val="32"/>
        </w:rPr>
        <w:t>政策依据</w:t>
      </w:r>
    </w:p>
    <w:p>
      <w:pPr>
        <w:numPr>
          <w:ilvl w:val="0"/>
          <w:numId w:val="2"/>
        </w:numPr>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《电力并网运行管理规定》(国能发监管规〔2021〕60号)</w:t>
      </w:r>
    </w:p>
    <w:p>
      <w:pPr>
        <w:numPr>
          <w:ilvl w:val="0"/>
          <w:numId w:val="2"/>
        </w:numPr>
        <w:ind w:firstLine="640" w:firstLineChars="200"/>
        <w:rPr>
          <w:rFonts w:ascii="仿宋" w:hAnsi="仿宋" w:eastAsia="仿宋" w:cs="仿宋"/>
          <w:sz w:val="32"/>
          <w:szCs w:val="32"/>
        </w:rPr>
      </w:pPr>
      <w:r>
        <w:rPr>
          <w:rFonts w:hint="eastAsia" w:ascii="仿宋_GB2312" w:hAnsi="Times New Roman" w:eastAsia="仿宋_GB2312"/>
          <w:sz w:val="32"/>
          <w:szCs w:val="32"/>
        </w:rPr>
        <w:t>《国家发改委 国家能源局关于加快推动新型储能发展的指导意见》（发改能源规〔202</w:t>
      </w: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1051</w:t>
      </w:r>
      <w:r>
        <w:rPr>
          <w:rFonts w:hint="eastAsia" w:ascii="仿宋_GB2312" w:hAnsi="Times New Roman" w:eastAsia="仿宋_GB2312"/>
          <w:sz w:val="32"/>
          <w:szCs w:val="32"/>
        </w:rPr>
        <w:t>号）</w:t>
      </w:r>
    </w:p>
    <w:p>
      <w:pPr>
        <w:numPr>
          <w:ilvl w:val="0"/>
          <w:numId w:val="2"/>
        </w:numPr>
        <w:ind w:firstLine="640" w:firstLineChars="200"/>
        <w:rPr>
          <w:rFonts w:ascii="仿宋" w:hAnsi="仿宋" w:eastAsia="仿宋" w:cs="仿宋"/>
          <w:sz w:val="32"/>
          <w:szCs w:val="32"/>
        </w:rPr>
      </w:pPr>
      <w:r>
        <w:rPr>
          <w:rFonts w:hint="eastAsia" w:ascii="仿宋_GB2312" w:hAnsi="Times New Roman" w:eastAsia="仿宋_GB2312"/>
          <w:sz w:val="32"/>
          <w:szCs w:val="32"/>
        </w:rPr>
        <w:t>《国家能源局关于印发新型储能项目管理规范（暂行）的通知》（国能发科技规〔202</w:t>
      </w: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47</w:t>
      </w:r>
      <w:r>
        <w:rPr>
          <w:rFonts w:hint="eastAsia" w:ascii="仿宋_GB2312" w:hAnsi="Times New Roman" w:eastAsia="仿宋_GB2312"/>
          <w:sz w:val="32"/>
          <w:szCs w:val="32"/>
        </w:rPr>
        <w:t>号）</w:t>
      </w:r>
    </w:p>
    <w:p>
      <w:pPr>
        <w:numPr>
          <w:ilvl w:val="0"/>
          <w:numId w:val="2"/>
        </w:numPr>
        <w:ind w:firstLine="640" w:firstLineChars="200"/>
        <w:rPr>
          <w:rFonts w:ascii="仿宋" w:hAnsi="仿宋" w:eastAsia="仿宋" w:cs="仿宋"/>
          <w:sz w:val="32"/>
          <w:szCs w:val="32"/>
        </w:rPr>
      </w:pPr>
      <w:r>
        <w:rPr>
          <w:rFonts w:hint="eastAsia" w:ascii="仿宋_GB2312" w:hAnsi="Times New Roman" w:eastAsia="仿宋_GB2312"/>
          <w:sz w:val="32"/>
          <w:szCs w:val="32"/>
        </w:rPr>
        <w:t>《国家发改委办公厅 国家能源局综合司关于进一步推动新型储能参与电力市场和调度运用的通知》（发改办运行〔202</w:t>
      </w:r>
      <w:r>
        <w:rPr>
          <w:rFonts w:ascii="仿宋_GB2312" w:hAnsi="Times New Roman" w:eastAsia="仿宋_GB2312"/>
          <w:sz w:val="32"/>
          <w:szCs w:val="32"/>
        </w:rPr>
        <w:t>2</w:t>
      </w:r>
      <w:r>
        <w:rPr>
          <w:rFonts w:hint="eastAsia" w:ascii="仿宋_GB2312" w:hAnsi="Times New Roman" w:eastAsia="仿宋_GB2312"/>
          <w:sz w:val="32"/>
          <w:szCs w:val="32"/>
        </w:rPr>
        <w:t>〕4</w:t>
      </w:r>
      <w:r>
        <w:rPr>
          <w:rFonts w:ascii="仿宋_GB2312" w:hAnsi="Times New Roman" w:eastAsia="仿宋_GB2312"/>
          <w:sz w:val="32"/>
          <w:szCs w:val="32"/>
        </w:rPr>
        <w:t>75</w:t>
      </w:r>
      <w:r>
        <w:rPr>
          <w:rFonts w:hint="eastAsia" w:ascii="仿宋_GB2312" w:hAnsi="Times New Roman" w:eastAsia="仿宋_GB2312"/>
          <w:sz w:val="32"/>
          <w:szCs w:val="32"/>
        </w:rPr>
        <w:t>号）</w:t>
      </w:r>
    </w:p>
    <w:p>
      <w:pPr>
        <w:spacing w:before="156" w:beforeLines="50" w:after="156" w:afterLines="50"/>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、主要内容</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细则共八章，</w:t>
      </w:r>
      <w:r>
        <w:rPr>
          <w:rFonts w:hint="eastAsia" w:ascii="仿宋" w:hAnsi="仿宋" w:eastAsia="仿宋" w:cs="仿宋"/>
          <w:sz w:val="32"/>
        </w:rPr>
        <w:t>包括</w:t>
      </w:r>
      <w:r>
        <w:rPr>
          <w:rFonts w:hint="eastAsia" w:ascii="仿宋" w:hAnsi="仿宋" w:eastAsia="仿宋" w:cs="仿宋"/>
          <w:sz w:val="32"/>
          <w:lang w:val="en-US" w:eastAsia="zh-CN"/>
        </w:rPr>
        <w:t>总则、</w:t>
      </w:r>
      <w:r>
        <w:rPr>
          <w:rFonts w:hint="eastAsia" w:ascii="仿宋" w:hAnsi="仿宋" w:eastAsia="仿宋" w:cs="仿宋"/>
          <w:sz w:val="32"/>
        </w:rPr>
        <w:t>调度管理、检修管理、技术管理</w:t>
      </w:r>
      <w:r>
        <w:rPr>
          <w:rFonts w:hint="eastAsia" w:ascii="仿宋" w:hAnsi="仿宋" w:eastAsia="仿宋" w:cs="仿宋"/>
          <w:sz w:val="32"/>
          <w:lang w:eastAsia="zh-CN"/>
        </w:rPr>
        <w:t>、</w:t>
      </w:r>
      <w:r>
        <w:rPr>
          <w:rFonts w:hint="eastAsia" w:ascii="仿宋" w:hAnsi="仿宋" w:eastAsia="仿宋" w:cs="仿宋"/>
          <w:sz w:val="32"/>
        </w:rPr>
        <w:t>计量</w:t>
      </w:r>
      <w:r>
        <w:rPr>
          <w:rFonts w:hint="eastAsia" w:ascii="仿宋" w:hAnsi="仿宋" w:eastAsia="仿宋" w:cs="仿宋"/>
          <w:sz w:val="32"/>
          <w:lang w:val="en-US" w:eastAsia="zh-CN"/>
        </w:rPr>
        <w:t>结算、信息披露、监督管理和附则。</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总则部分：主要包括制定依据和适用对象等内容，明确了山西能源监管办授权电力调度机构对储能电站进行考核和结算。</w:t>
      </w:r>
    </w:p>
    <w:p>
      <w:pPr>
        <w:ind w:firstLine="640" w:firstLineChars="200"/>
        <w:rPr>
          <w:rFonts w:hint="eastAsia" w:ascii="仿宋" w:hAnsi="仿宋" w:eastAsia="仿宋" w:cs="仿宋"/>
          <w:sz w:val="32"/>
        </w:rPr>
      </w:pPr>
      <w:r>
        <w:rPr>
          <w:rFonts w:hint="eastAsia" w:ascii="仿宋" w:hAnsi="仿宋" w:eastAsia="仿宋" w:cs="仿宋"/>
          <w:sz w:val="32"/>
        </w:rPr>
        <w:t>并网调度管理部分</w:t>
      </w:r>
      <w:r>
        <w:rPr>
          <w:rFonts w:hint="eastAsia" w:ascii="仿宋" w:hAnsi="仿宋" w:eastAsia="仿宋" w:cs="仿宋"/>
          <w:sz w:val="32"/>
          <w:lang w:eastAsia="zh-CN"/>
        </w:rPr>
        <w:t>：</w:t>
      </w:r>
      <w:r>
        <w:rPr>
          <w:rFonts w:hint="eastAsia" w:ascii="仿宋" w:hAnsi="仿宋" w:eastAsia="仿宋" w:cs="仿宋"/>
          <w:sz w:val="32"/>
        </w:rPr>
        <w:t>主要包括储能电站并网调度运行要求及考核，明确了违反调度纪律的情形，对储能电站因参执行调度指令或提供辅助服务等非自身原因造成的偏差免于考核</w:t>
      </w:r>
      <w:r>
        <w:rPr>
          <w:rFonts w:hint="eastAsia" w:ascii="仿宋" w:hAnsi="仿宋" w:eastAsia="仿宋" w:cs="仿宋"/>
          <w:sz w:val="32"/>
          <w:lang w:eastAsia="zh-CN"/>
        </w:rPr>
        <w:t>。</w:t>
      </w:r>
      <w:r>
        <w:rPr>
          <w:rFonts w:hint="eastAsia" w:ascii="仿宋" w:hAnsi="仿宋" w:eastAsia="仿宋" w:cs="仿宋"/>
          <w:sz w:val="32"/>
          <w:lang w:val="en-US" w:eastAsia="zh-CN"/>
        </w:rPr>
        <w:t>与现货市场衔接方面，要求储能电站按规定在现货系统中提交次日运行状态和报价信息，以用于形成运行日的充放电计划曲线；运行日产生曲线偏差按照市场规则进行考核</w:t>
      </w:r>
      <w:r>
        <w:rPr>
          <w:rFonts w:hint="eastAsia" w:ascii="仿宋" w:hAnsi="仿宋" w:eastAsia="仿宋" w:cs="仿宋"/>
          <w:sz w:val="32"/>
        </w:rPr>
        <w:t>。</w:t>
      </w:r>
    </w:p>
    <w:p>
      <w:pPr>
        <w:ind w:firstLine="640" w:firstLineChars="200"/>
        <w:rPr>
          <w:rFonts w:hint="eastAsia" w:ascii="仿宋" w:hAnsi="仿宋" w:eastAsia="仿宋" w:cs="仿宋"/>
          <w:sz w:val="32"/>
        </w:rPr>
      </w:pPr>
      <w:r>
        <w:rPr>
          <w:rFonts w:hint="eastAsia" w:ascii="仿宋" w:hAnsi="仿宋" w:eastAsia="仿宋" w:cs="仿宋"/>
          <w:sz w:val="32"/>
        </w:rPr>
        <w:t>检修管理部分</w:t>
      </w:r>
      <w:r>
        <w:rPr>
          <w:rFonts w:hint="eastAsia" w:ascii="仿宋" w:hAnsi="仿宋" w:eastAsia="仿宋" w:cs="仿宋"/>
          <w:sz w:val="32"/>
          <w:lang w:eastAsia="zh-CN"/>
        </w:rPr>
        <w:t>：</w:t>
      </w:r>
      <w:r>
        <w:rPr>
          <w:rFonts w:hint="eastAsia" w:ascii="仿宋" w:hAnsi="仿宋" w:eastAsia="仿宋" w:cs="仿宋"/>
          <w:sz w:val="32"/>
        </w:rPr>
        <w:t>包括储能电站检修计划管理、电网和电站检修配合等相关内容，</w:t>
      </w:r>
      <w:r>
        <w:rPr>
          <w:rFonts w:hint="eastAsia" w:ascii="仿宋" w:hAnsi="仿宋" w:eastAsia="仿宋" w:cs="仿宋"/>
          <w:sz w:val="32"/>
          <w:lang w:val="en-US" w:eastAsia="zh-CN"/>
        </w:rPr>
        <w:t>对因电站自身原因造成的检修逾期和擅自增加检修内容等情形明确了考核标准</w:t>
      </w:r>
      <w:r>
        <w:rPr>
          <w:rFonts w:hint="eastAsia" w:ascii="仿宋" w:hAnsi="仿宋" w:eastAsia="仿宋" w:cs="仿宋"/>
          <w:sz w:val="32"/>
        </w:rPr>
        <w:t>。</w:t>
      </w:r>
    </w:p>
    <w:p>
      <w:pPr>
        <w:ind w:firstLine="640" w:firstLineChars="200"/>
        <w:rPr>
          <w:rFonts w:hint="eastAsia" w:ascii="仿宋" w:hAnsi="仿宋" w:eastAsia="仿宋" w:cs="仿宋"/>
          <w:sz w:val="32"/>
        </w:rPr>
      </w:pPr>
      <w:r>
        <w:rPr>
          <w:rFonts w:hint="eastAsia" w:ascii="仿宋" w:hAnsi="仿宋" w:eastAsia="仿宋" w:cs="仿宋"/>
          <w:sz w:val="32"/>
        </w:rPr>
        <w:t>技术管理部分</w:t>
      </w:r>
      <w:r>
        <w:rPr>
          <w:rFonts w:hint="eastAsia" w:ascii="仿宋" w:hAnsi="仿宋" w:eastAsia="仿宋" w:cs="仿宋"/>
          <w:sz w:val="32"/>
          <w:lang w:eastAsia="zh-CN"/>
        </w:rPr>
        <w:t>：</w:t>
      </w:r>
      <w:r>
        <w:rPr>
          <w:rFonts w:hint="eastAsia" w:ascii="仿宋" w:hAnsi="仿宋" w:eastAsia="仿宋" w:cs="仿宋"/>
          <w:sz w:val="32"/>
        </w:rPr>
        <w:t>包括电站设备参数、涉网性能（高、低电压穿越等）、一次调频、有功无功控制（AGC、AVC）、继电保护及安全自动装置、信息通信和自动化网安设备的技术管理要求和考核标准</w:t>
      </w:r>
      <w:r>
        <w:rPr>
          <w:rFonts w:hint="eastAsia" w:ascii="仿宋" w:hAnsi="仿宋" w:eastAsia="仿宋" w:cs="仿宋"/>
          <w:sz w:val="32"/>
          <w:lang w:eastAsia="zh-CN"/>
        </w:rPr>
        <w:t>。</w:t>
      </w:r>
      <w:r>
        <w:rPr>
          <w:rFonts w:hint="eastAsia" w:ascii="仿宋" w:hAnsi="仿宋" w:eastAsia="仿宋" w:cs="仿宋"/>
          <w:sz w:val="32"/>
          <w:lang w:val="en-US" w:eastAsia="zh-CN"/>
        </w:rPr>
        <w:t>明确了储能电站应提供基本的一次调频、快速调压等基本服务，对因电站自身原因造成相关设备故障和信息报送延误等情形应予以考核。</w:t>
      </w:r>
    </w:p>
    <w:p>
      <w:pPr>
        <w:ind w:firstLine="640" w:firstLineChars="200"/>
        <w:rPr>
          <w:rFonts w:hint="eastAsia" w:ascii="仿宋" w:hAnsi="仿宋" w:eastAsia="仿宋" w:cs="仿宋"/>
          <w:sz w:val="32"/>
        </w:rPr>
      </w:pPr>
      <w:r>
        <w:rPr>
          <w:rFonts w:hint="eastAsia" w:ascii="仿宋" w:hAnsi="仿宋" w:eastAsia="仿宋" w:cs="仿宋"/>
          <w:sz w:val="32"/>
        </w:rPr>
        <w:t>计量结算部分</w:t>
      </w:r>
      <w:r>
        <w:rPr>
          <w:rFonts w:hint="eastAsia" w:ascii="仿宋" w:hAnsi="仿宋" w:eastAsia="仿宋" w:cs="仿宋"/>
          <w:sz w:val="32"/>
          <w:lang w:eastAsia="zh-CN"/>
        </w:rPr>
        <w:t>：</w:t>
      </w:r>
      <w:r>
        <w:rPr>
          <w:rFonts w:hint="eastAsia" w:ascii="仿宋" w:hAnsi="仿宋" w:eastAsia="仿宋" w:cs="仿宋"/>
          <w:sz w:val="32"/>
        </w:rPr>
        <w:t>明确了电站月度考核上限为全站容量×35小时，考核电量价格执行燃煤发电上网基准价格。</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信息披露部分：规定信息披露工作按照《山西省发电厂并网运行管理实施细则》有关规定执行。</w:t>
      </w:r>
    </w:p>
    <w:p>
      <w:pPr>
        <w:spacing w:before="156" w:beforeLines="50" w:after="156" w:afterLines="50"/>
        <w:ind w:firstLine="640" w:firstLineChars="200"/>
        <w:rPr>
          <w:rFonts w:hint="eastAsia" w:ascii="黑体" w:hAnsi="黑体" w:eastAsia="黑体"/>
          <w:sz w:val="32"/>
          <w:szCs w:val="32"/>
          <w:lang w:eastAsia="zh-CN"/>
        </w:rPr>
      </w:pPr>
      <w:r>
        <w:rPr>
          <w:rFonts w:hint="eastAsia" w:ascii="黑体" w:hAnsi="黑体" w:eastAsia="黑体"/>
          <w:sz w:val="32"/>
          <w:szCs w:val="32"/>
          <w:lang w:val="en-US" w:eastAsia="zh-CN"/>
        </w:rPr>
        <w:t>四</w:t>
      </w:r>
      <w:bookmarkStart w:id="0" w:name="_GoBack"/>
      <w:bookmarkEnd w:id="0"/>
      <w:r>
        <w:rPr>
          <w:rFonts w:hint="eastAsia" w:ascii="黑体" w:hAnsi="黑体" w:eastAsia="黑体"/>
          <w:sz w:val="32"/>
          <w:szCs w:val="32"/>
        </w:rPr>
        <w:t>、</w:t>
      </w:r>
      <w:r>
        <w:rPr>
          <w:rFonts w:hint="eastAsia" w:ascii="黑体" w:hAnsi="黑体" w:eastAsia="黑体"/>
          <w:sz w:val="32"/>
          <w:szCs w:val="32"/>
          <w:lang w:val="en-US" w:eastAsia="zh-CN"/>
        </w:rPr>
        <w:t>主要特点</w:t>
      </w:r>
    </w:p>
    <w:p>
      <w:pPr>
        <w:ind w:firstLine="640" w:firstLineChars="200"/>
        <w:rPr>
          <w:rFonts w:hint="eastAsia" w:ascii="仿宋" w:hAnsi="仿宋" w:eastAsia="仿宋" w:cs="仿宋"/>
          <w:sz w:val="32"/>
        </w:rPr>
      </w:pPr>
      <w:r>
        <w:rPr>
          <w:rFonts w:hint="eastAsia" w:ascii="仿宋" w:hAnsi="仿宋" w:eastAsia="仿宋" w:cs="仿宋"/>
          <w:sz w:val="32"/>
          <w:lang w:eastAsia="zh-CN"/>
        </w:rPr>
        <w:t>（</w:t>
      </w:r>
      <w:r>
        <w:rPr>
          <w:rFonts w:hint="eastAsia" w:ascii="仿宋" w:hAnsi="仿宋" w:eastAsia="仿宋" w:cs="仿宋"/>
          <w:sz w:val="32"/>
          <w:lang w:val="en-US" w:eastAsia="zh-CN"/>
        </w:rPr>
        <w:t>一</w:t>
      </w:r>
      <w:r>
        <w:rPr>
          <w:rFonts w:hint="eastAsia" w:ascii="仿宋" w:hAnsi="仿宋" w:eastAsia="仿宋" w:cs="仿宋"/>
          <w:sz w:val="32"/>
          <w:lang w:eastAsia="zh-CN"/>
        </w:rPr>
        <w:t>）</w:t>
      </w:r>
      <w:r>
        <w:rPr>
          <w:rFonts w:hint="eastAsia" w:ascii="仿宋" w:hAnsi="仿宋" w:eastAsia="仿宋" w:cs="仿宋"/>
          <w:sz w:val="32"/>
        </w:rPr>
        <w:t>采用装机容量×小时数来代替传统电厂考核上网电量。</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eastAsia="zh-CN"/>
        </w:rPr>
        <w:t>（</w:t>
      </w:r>
      <w:r>
        <w:rPr>
          <w:rFonts w:hint="eastAsia" w:ascii="仿宋" w:hAnsi="仿宋" w:eastAsia="仿宋" w:cs="仿宋"/>
          <w:sz w:val="32"/>
          <w:lang w:val="en-US" w:eastAsia="zh-CN"/>
        </w:rPr>
        <w:t>二</w:t>
      </w:r>
      <w:r>
        <w:rPr>
          <w:rFonts w:hint="eastAsia" w:ascii="仿宋" w:hAnsi="仿宋" w:eastAsia="仿宋" w:cs="仿宋"/>
          <w:sz w:val="32"/>
          <w:lang w:eastAsia="zh-CN"/>
        </w:rPr>
        <w:t>）</w:t>
      </w:r>
      <w:r>
        <w:rPr>
          <w:rFonts w:hint="eastAsia" w:ascii="仿宋" w:hAnsi="仿宋" w:eastAsia="仿宋" w:cs="仿宋"/>
          <w:sz w:val="32"/>
          <w:lang w:val="en-US" w:eastAsia="zh-CN"/>
        </w:rPr>
        <w:t>独立储能电站仅参与考核和考核返还，不参与考核费用分摊。</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（三）针对储能电站的运行特点，提出了储能充放电可用状态，电量初始状态、最大充放电时间等储能特有的调用和上报要求。</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（四）本细则是针对储能技术运行特点制定了特有的运行和考核规定，其余管理考核项目参照新能源电厂并网管理细则编制。</w:t>
      </w:r>
    </w:p>
    <w:p>
      <w:pPr>
        <w:ind w:firstLine="640" w:firstLineChars="200"/>
      </w:pPr>
      <w:r>
        <w:rPr>
          <w:rFonts w:hint="eastAsia" w:ascii="仿宋" w:hAnsi="仿宋" w:eastAsia="仿宋" w:cs="仿宋"/>
          <w:sz w:val="32"/>
          <w:lang w:val="en-US" w:eastAsia="zh-CN"/>
        </w:rPr>
        <w:t>（五）规定新能源配套储能、用户侧储能和其他电源侧储能等满足独立并网运行技术条件时，可自愿申请转为独立储能电站运行。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BF26E"/>
    <w:multiLevelType w:val="singleLevel"/>
    <w:tmpl w:val="2CEBF26E"/>
    <w:lvl w:ilvl="0" w:tentative="0">
      <w:start w:val="1"/>
      <w:numFmt w:val="chineseCounting"/>
      <w:suff w:val="nothing"/>
      <w:lvlText w:val="%1、"/>
      <w:lvlJc w:val="left"/>
      <w:rPr>
        <w:rFonts w:hint="eastAsia"/>
      </w:rPr>
    </w:lvl>
  </w:abstractNum>
  <w:abstractNum w:abstractNumId="1">
    <w:nsid w:val="4658C562"/>
    <w:multiLevelType w:val="singleLevel"/>
    <w:tmpl w:val="4658C56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MjA2Yjg3N2Q2Nzc4Yjc2YmU4YzMzYzk4ZThkMmYifQ=="/>
  </w:docVars>
  <w:rsids>
    <w:rsidRoot w:val="008E6359"/>
    <w:rsid w:val="00032269"/>
    <w:rsid w:val="00067209"/>
    <w:rsid w:val="0007624B"/>
    <w:rsid w:val="000B0B99"/>
    <w:rsid w:val="000C65EC"/>
    <w:rsid w:val="001323A5"/>
    <w:rsid w:val="001D1C28"/>
    <w:rsid w:val="002073ED"/>
    <w:rsid w:val="002574FA"/>
    <w:rsid w:val="00286BA0"/>
    <w:rsid w:val="00296587"/>
    <w:rsid w:val="002C1B52"/>
    <w:rsid w:val="002D012B"/>
    <w:rsid w:val="003761BF"/>
    <w:rsid w:val="003E1A46"/>
    <w:rsid w:val="003F21F0"/>
    <w:rsid w:val="004B6D3A"/>
    <w:rsid w:val="004C46F5"/>
    <w:rsid w:val="004E1D86"/>
    <w:rsid w:val="004F4E55"/>
    <w:rsid w:val="005028E3"/>
    <w:rsid w:val="00511870"/>
    <w:rsid w:val="005136CC"/>
    <w:rsid w:val="00574D84"/>
    <w:rsid w:val="005D5182"/>
    <w:rsid w:val="005E642A"/>
    <w:rsid w:val="006148E0"/>
    <w:rsid w:val="00660358"/>
    <w:rsid w:val="006E1CCF"/>
    <w:rsid w:val="006F0309"/>
    <w:rsid w:val="00716999"/>
    <w:rsid w:val="007A6B7B"/>
    <w:rsid w:val="007F03D5"/>
    <w:rsid w:val="008E0757"/>
    <w:rsid w:val="008E4735"/>
    <w:rsid w:val="008E6359"/>
    <w:rsid w:val="00937241"/>
    <w:rsid w:val="009B77E4"/>
    <w:rsid w:val="009E20CA"/>
    <w:rsid w:val="00A15424"/>
    <w:rsid w:val="00A45369"/>
    <w:rsid w:val="00B003ED"/>
    <w:rsid w:val="00B34892"/>
    <w:rsid w:val="00BA52EE"/>
    <w:rsid w:val="00C95B1D"/>
    <w:rsid w:val="00CE7CE3"/>
    <w:rsid w:val="00DE2D13"/>
    <w:rsid w:val="00E057D8"/>
    <w:rsid w:val="00E35D80"/>
    <w:rsid w:val="00E8568A"/>
    <w:rsid w:val="00F418E2"/>
    <w:rsid w:val="00F6004A"/>
    <w:rsid w:val="00FA1DE2"/>
    <w:rsid w:val="00FA3FF1"/>
    <w:rsid w:val="00FD1EAB"/>
    <w:rsid w:val="00FE5E94"/>
    <w:rsid w:val="01160448"/>
    <w:rsid w:val="012432E6"/>
    <w:rsid w:val="01877356"/>
    <w:rsid w:val="01E079EE"/>
    <w:rsid w:val="02F113BF"/>
    <w:rsid w:val="054B118C"/>
    <w:rsid w:val="055610C2"/>
    <w:rsid w:val="06A250B9"/>
    <w:rsid w:val="09341F95"/>
    <w:rsid w:val="0A076A7D"/>
    <w:rsid w:val="0D757FBF"/>
    <w:rsid w:val="0DF06708"/>
    <w:rsid w:val="0F18039F"/>
    <w:rsid w:val="125307A5"/>
    <w:rsid w:val="12A54925"/>
    <w:rsid w:val="12B8299B"/>
    <w:rsid w:val="144E1280"/>
    <w:rsid w:val="17690AF4"/>
    <w:rsid w:val="18033768"/>
    <w:rsid w:val="192E679D"/>
    <w:rsid w:val="1B7D142E"/>
    <w:rsid w:val="1C120E53"/>
    <w:rsid w:val="1D7F6358"/>
    <w:rsid w:val="1E01277C"/>
    <w:rsid w:val="1FBB7C66"/>
    <w:rsid w:val="2015440A"/>
    <w:rsid w:val="21863F8E"/>
    <w:rsid w:val="21910AA1"/>
    <w:rsid w:val="21B26194"/>
    <w:rsid w:val="22B165B1"/>
    <w:rsid w:val="25270BE8"/>
    <w:rsid w:val="258C05A5"/>
    <w:rsid w:val="27F63918"/>
    <w:rsid w:val="27FF626B"/>
    <w:rsid w:val="28442E48"/>
    <w:rsid w:val="2A66045B"/>
    <w:rsid w:val="2A930FB0"/>
    <w:rsid w:val="2AAA51D1"/>
    <w:rsid w:val="2AEE5871"/>
    <w:rsid w:val="2B9B3685"/>
    <w:rsid w:val="2C103191"/>
    <w:rsid w:val="2CD95701"/>
    <w:rsid w:val="32B2290A"/>
    <w:rsid w:val="345627BD"/>
    <w:rsid w:val="358022F9"/>
    <w:rsid w:val="36520C30"/>
    <w:rsid w:val="3901126C"/>
    <w:rsid w:val="39281ED3"/>
    <w:rsid w:val="3AB7291D"/>
    <w:rsid w:val="3AC87DEB"/>
    <w:rsid w:val="3B843409"/>
    <w:rsid w:val="3C8E234C"/>
    <w:rsid w:val="3CB127AA"/>
    <w:rsid w:val="3DD3647B"/>
    <w:rsid w:val="415C7C07"/>
    <w:rsid w:val="44110956"/>
    <w:rsid w:val="443C3813"/>
    <w:rsid w:val="453A2203"/>
    <w:rsid w:val="46345DB5"/>
    <w:rsid w:val="46F07840"/>
    <w:rsid w:val="47DA34DD"/>
    <w:rsid w:val="48084BF9"/>
    <w:rsid w:val="490C0F96"/>
    <w:rsid w:val="49320796"/>
    <w:rsid w:val="4A2704AE"/>
    <w:rsid w:val="4A771FFA"/>
    <w:rsid w:val="4BA658E7"/>
    <w:rsid w:val="4C37033A"/>
    <w:rsid w:val="4C6E2B0B"/>
    <w:rsid w:val="4C826D32"/>
    <w:rsid w:val="4CA25589"/>
    <w:rsid w:val="4CB6007A"/>
    <w:rsid w:val="4CBF12FE"/>
    <w:rsid w:val="4CDB3841"/>
    <w:rsid w:val="4D67341F"/>
    <w:rsid w:val="4F405280"/>
    <w:rsid w:val="4F585C90"/>
    <w:rsid w:val="50BF707C"/>
    <w:rsid w:val="51E92EF3"/>
    <w:rsid w:val="51EA79F5"/>
    <w:rsid w:val="523778DD"/>
    <w:rsid w:val="531374F8"/>
    <w:rsid w:val="53950104"/>
    <w:rsid w:val="550B041C"/>
    <w:rsid w:val="57757DF0"/>
    <w:rsid w:val="5BB5392D"/>
    <w:rsid w:val="5D084E05"/>
    <w:rsid w:val="5D512710"/>
    <w:rsid w:val="5D85556B"/>
    <w:rsid w:val="5E9266ED"/>
    <w:rsid w:val="5F17545A"/>
    <w:rsid w:val="5FAD7C11"/>
    <w:rsid w:val="60020B41"/>
    <w:rsid w:val="616B4A4D"/>
    <w:rsid w:val="618D4E07"/>
    <w:rsid w:val="633610B3"/>
    <w:rsid w:val="63452DCD"/>
    <w:rsid w:val="65FE41B1"/>
    <w:rsid w:val="67063EF8"/>
    <w:rsid w:val="67412F54"/>
    <w:rsid w:val="67437A24"/>
    <w:rsid w:val="67FF3F4E"/>
    <w:rsid w:val="683B6D7D"/>
    <w:rsid w:val="688226B1"/>
    <w:rsid w:val="69701908"/>
    <w:rsid w:val="6AF96A7D"/>
    <w:rsid w:val="6BC62C0C"/>
    <w:rsid w:val="6BE86AE2"/>
    <w:rsid w:val="6CF14529"/>
    <w:rsid w:val="6E2B3B33"/>
    <w:rsid w:val="6E382F23"/>
    <w:rsid w:val="6FDB0700"/>
    <w:rsid w:val="71892861"/>
    <w:rsid w:val="73457540"/>
    <w:rsid w:val="73A55D79"/>
    <w:rsid w:val="74E51990"/>
    <w:rsid w:val="75076CF1"/>
    <w:rsid w:val="75723591"/>
    <w:rsid w:val="768D53C4"/>
    <w:rsid w:val="76D81AFF"/>
    <w:rsid w:val="779049B3"/>
    <w:rsid w:val="785A7FCF"/>
    <w:rsid w:val="789A3A70"/>
    <w:rsid w:val="7B725B71"/>
    <w:rsid w:val="7C0A2020"/>
    <w:rsid w:val="7C513401"/>
    <w:rsid w:val="7CDA7CD5"/>
    <w:rsid w:val="7D4476AA"/>
    <w:rsid w:val="7DBE26FD"/>
    <w:rsid w:val="7EF12BBD"/>
    <w:rsid w:val="7FF92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kern w:val="2"/>
      <w:sz w:val="18"/>
      <w:szCs w:val="18"/>
    </w:rPr>
  </w:style>
  <w:style w:type="character" w:customStyle="1" w:styleId="7">
    <w:name w:val="页脚 Char"/>
    <w:basedOn w:val="4"/>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256</Words>
  <Characters>1462</Characters>
  <Lines>12</Lines>
  <Paragraphs>3</Paragraphs>
  <TotalTime>36</TotalTime>
  <ScaleCrop>false</ScaleCrop>
  <LinksUpToDate>false</LinksUpToDate>
  <CharactersWithSpaces>1715</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王东</cp:lastModifiedBy>
  <cp:lastPrinted>2023-01-03T03:18:00Z</cp:lastPrinted>
  <dcterms:modified xsi:type="dcterms:W3CDTF">2024-01-03T02:44:26Z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601820BF9DC44A839A2D194CCAAB1FE4</vt:lpwstr>
  </property>
</Properties>
</file>